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B832BA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июля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386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</w:t>
      </w:r>
      <w:r w:rsidR="00136FD4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F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№67, Уставом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>Провести аукцион в электронной форме, открытый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70C5B">
        <w:rPr>
          <w:rFonts w:ascii="Times New Roman" w:hAnsi="Times New Roman" w:cs="Times New Roman"/>
          <w:sz w:val="28"/>
          <w:szCs w:val="28"/>
        </w:rPr>
        <w:t>его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F70C5B">
        <w:rPr>
          <w:rFonts w:ascii="Times New Roman" w:hAnsi="Times New Roman" w:cs="Times New Roman"/>
          <w:sz w:val="28"/>
          <w:szCs w:val="28"/>
        </w:rPr>
        <w:t>а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DB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B5299" w:rsidRPr="00DB5299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DB5299">
        <w:rPr>
          <w:rFonts w:ascii="Times New Roman" w:hAnsi="Times New Roman" w:cs="Times New Roman"/>
          <w:sz w:val="28"/>
          <w:szCs w:val="28"/>
        </w:rPr>
        <w:t xml:space="preserve"> </w:t>
      </w:r>
      <w:r w:rsidR="00DB5299" w:rsidRPr="00DB5299">
        <w:rPr>
          <w:rFonts w:ascii="Times New Roman" w:hAnsi="Times New Roman" w:cs="Times New Roman"/>
          <w:sz w:val="28"/>
          <w:szCs w:val="28"/>
        </w:rPr>
        <w:t>Ориентир</w:t>
      </w:r>
      <w:r w:rsidR="00DB5299">
        <w:rPr>
          <w:rFonts w:ascii="Times New Roman" w:hAnsi="Times New Roman" w:cs="Times New Roman"/>
          <w:sz w:val="28"/>
          <w:szCs w:val="28"/>
        </w:rPr>
        <w:t xml:space="preserve"> </w:t>
      </w:r>
      <w:r w:rsidR="00DB5299" w:rsidRPr="00DB5299">
        <w:rPr>
          <w:rFonts w:ascii="Times New Roman" w:hAnsi="Times New Roman" w:cs="Times New Roman"/>
          <w:sz w:val="28"/>
          <w:szCs w:val="28"/>
        </w:rPr>
        <w:t>жилой дом.</w:t>
      </w:r>
      <w:r w:rsidR="00DB5299">
        <w:rPr>
          <w:rFonts w:ascii="Times New Roman" w:hAnsi="Times New Roman" w:cs="Times New Roman"/>
          <w:sz w:val="28"/>
          <w:szCs w:val="28"/>
        </w:rPr>
        <w:t xml:space="preserve"> </w:t>
      </w:r>
      <w:r w:rsidR="00DB5299" w:rsidRPr="00DB5299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4C75E0">
        <w:rPr>
          <w:rFonts w:ascii="Times New Roman" w:hAnsi="Times New Roman" w:cs="Times New Roman"/>
          <w:sz w:val="28"/>
          <w:szCs w:val="28"/>
        </w:rPr>
        <w:t>90</w:t>
      </w:r>
      <w:r w:rsidR="00DB5299" w:rsidRPr="00DB5299">
        <w:rPr>
          <w:rFonts w:ascii="Times New Roman" w:hAnsi="Times New Roman" w:cs="Times New Roman"/>
          <w:sz w:val="28"/>
          <w:szCs w:val="28"/>
        </w:rPr>
        <w:t xml:space="preserve"> м, по направлению на </w:t>
      </w:r>
      <w:r w:rsidR="004C75E0">
        <w:rPr>
          <w:rFonts w:ascii="Times New Roman" w:hAnsi="Times New Roman" w:cs="Times New Roman"/>
          <w:sz w:val="28"/>
          <w:szCs w:val="28"/>
        </w:rPr>
        <w:t>север</w:t>
      </w:r>
      <w:r w:rsidR="00DB5299" w:rsidRPr="00DB5299">
        <w:rPr>
          <w:rFonts w:ascii="Times New Roman" w:hAnsi="Times New Roman" w:cs="Times New Roman"/>
          <w:sz w:val="28"/>
          <w:szCs w:val="28"/>
        </w:rPr>
        <w:t xml:space="preserve"> от ориентира. Почтовый</w:t>
      </w:r>
      <w:r w:rsidR="00DB5299">
        <w:rPr>
          <w:rFonts w:ascii="Times New Roman" w:hAnsi="Times New Roman" w:cs="Times New Roman"/>
          <w:sz w:val="28"/>
          <w:szCs w:val="28"/>
        </w:rPr>
        <w:t xml:space="preserve"> </w:t>
      </w:r>
      <w:r w:rsidR="00DB5299" w:rsidRPr="00DB5299">
        <w:rPr>
          <w:rFonts w:ascii="Times New Roman" w:hAnsi="Times New Roman" w:cs="Times New Roman"/>
          <w:sz w:val="28"/>
          <w:szCs w:val="28"/>
        </w:rPr>
        <w:t xml:space="preserve">адрес ориентира: 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район </w:t>
      </w:r>
      <w:proofErr w:type="spellStart"/>
      <w:r w:rsidR="004C75E0" w:rsidRPr="004C75E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4C75E0" w:rsidRPr="004C75E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C75E0" w:rsidRPr="004C75E0">
        <w:rPr>
          <w:rFonts w:ascii="Times New Roman" w:hAnsi="Times New Roman" w:cs="Times New Roman"/>
          <w:sz w:val="28"/>
          <w:szCs w:val="28"/>
        </w:rPr>
        <w:t>Усть-Алейка</w:t>
      </w:r>
      <w:proofErr w:type="spellEnd"/>
      <w:r w:rsidR="004C75E0" w:rsidRPr="004C75E0">
        <w:rPr>
          <w:rFonts w:ascii="Times New Roman" w:hAnsi="Times New Roman" w:cs="Times New Roman"/>
          <w:sz w:val="28"/>
          <w:szCs w:val="28"/>
        </w:rPr>
        <w:t>, ул. Садовая, дом 71</w:t>
      </w:r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4C75E0">
        <w:rPr>
          <w:rFonts w:ascii="Times New Roman" w:hAnsi="Times New Roman" w:cs="Times New Roman"/>
          <w:sz w:val="28"/>
          <w:szCs w:val="28"/>
        </w:rPr>
        <w:t>5000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B5299" w:rsidRPr="00DB5299">
        <w:rPr>
          <w:rFonts w:ascii="Times New Roman" w:hAnsi="Times New Roman" w:cs="Times New Roman"/>
          <w:sz w:val="28"/>
          <w:szCs w:val="28"/>
        </w:rPr>
        <w:t>22:16:0</w:t>
      </w:r>
      <w:r w:rsidR="004C75E0">
        <w:rPr>
          <w:rFonts w:ascii="Times New Roman" w:hAnsi="Times New Roman" w:cs="Times New Roman"/>
          <w:sz w:val="28"/>
          <w:szCs w:val="28"/>
        </w:rPr>
        <w:t>30924</w:t>
      </w:r>
      <w:r w:rsidR="00DB5299" w:rsidRPr="00DB5299">
        <w:rPr>
          <w:rFonts w:ascii="Times New Roman" w:hAnsi="Times New Roman" w:cs="Times New Roman"/>
          <w:sz w:val="28"/>
          <w:szCs w:val="28"/>
        </w:rPr>
        <w:t>:1</w:t>
      </w:r>
      <w:r w:rsidR="004C75E0">
        <w:rPr>
          <w:rFonts w:ascii="Times New Roman" w:hAnsi="Times New Roman" w:cs="Times New Roman"/>
          <w:sz w:val="28"/>
          <w:szCs w:val="28"/>
        </w:rPr>
        <w:t>8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E36ADD"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C75E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85FE4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4C75E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4C75E0"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4C75E0"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4C75E0">
        <w:rPr>
          <w:rFonts w:ascii="Times New Roman" w:hAnsi="Times New Roman" w:cs="Times New Roman"/>
          <w:sz w:val="28"/>
          <w:szCs w:val="28"/>
        </w:rPr>
        <w:t>8</w:t>
      </w:r>
      <w:r w:rsidR="004C75E0" w:rsidRPr="004C75E0">
        <w:rPr>
          <w:rFonts w:ascii="Times New Roman" w:hAnsi="Times New Roman" w:cs="Times New Roman"/>
          <w:sz w:val="28"/>
          <w:szCs w:val="28"/>
        </w:rPr>
        <w:t>412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4C75E0">
        <w:rPr>
          <w:rFonts w:ascii="Times New Roman" w:hAnsi="Times New Roman" w:cs="Times New Roman"/>
          <w:sz w:val="28"/>
          <w:szCs w:val="28"/>
        </w:rPr>
        <w:t>восемь тысяч четыреста двенадцать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B5299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4C75E0">
        <w:rPr>
          <w:rFonts w:ascii="Times New Roman" w:hAnsi="Times New Roman" w:cs="Times New Roman"/>
          <w:sz w:val="28"/>
          <w:szCs w:val="28"/>
        </w:rPr>
        <w:t>5</w:t>
      </w:r>
      <w:r w:rsidR="00DB5299">
        <w:rPr>
          <w:rFonts w:ascii="Times New Roman" w:hAnsi="Times New Roman" w:cs="Times New Roman"/>
          <w:sz w:val="28"/>
          <w:szCs w:val="28"/>
        </w:rPr>
        <w:t>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lastRenderedPageBreak/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4C75E0">
        <w:rPr>
          <w:rFonts w:ascii="Times New Roman" w:hAnsi="Times New Roman" w:cs="Times New Roman"/>
          <w:sz w:val="28"/>
          <w:szCs w:val="28"/>
        </w:rPr>
        <w:t>1</w:t>
      </w:r>
      <w:r w:rsidR="004C75E0" w:rsidRPr="004C75E0">
        <w:rPr>
          <w:rFonts w:ascii="Times New Roman" w:hAnsi="Times New Roman" w:cs="Times New Roman"/>
          <w:sz w:val="28"/>
          <w:szCs w:val="28"/>
        </w:rPr>
        <w:t>682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4C75E0">
        <w:rPr>
          <w:rFonts w:ascii="Times New Roman" w:hAnsi="Times New Roman" w:cs="Times New Roman"/>
          <w:sz w:val="28"/>
          <w:szCs w:val="28"/>
        </w:rPr>
        <w:t>одна тысяча шестьсот восемьдесят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85FE4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4C75E0">
        <w:rPr>
          <w:rFonts w:ascii="Times New Roman" w:hAnsi="Times New Roman" w:cs="Times New Roman"/>
          <w:sz w:val="28"/>
          <w:szCs w:val="28"/>
        </w:rPr>
        <w:t>5</w:t>
      </w:r>
      <w:r w:rsidR="00DB5299">
        <w:rPr>
          <w:rFonts w:ascii="Times New Roman" w:hAnsi="Times New Roman" w:cs="Times New Roman"/>
          <w:sz w:val="28"/>
          <w:szCs w:val="28"/>
        </w:rPr>
        <w:t>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DB5299">
        <w:rPr>
          <w:rFonts w:ascii="Times New Roman" w:hAnsi="Times New Roman" w:cs="Times New Roman"/>
          <w:sz w:val="28"/>
          <w:szCs w:val="28"/>
        </w:rPr>
        <w:t>е</w:t>
      </w:r>
      <w:r w:rsidR="00BD0B04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4C75E0" w:rsidRPr="004C75E0">
        <w:rPr>
          <w:rFonts w:ascii="Times New Roman" w:hAnsi="Times New Roman" w:cs="Times New Roman"/>
          <w:sz w:val="28"/>
          <w:szCs w:val="28"/>
        </w:rPr>
        <w:t>252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4C75E0"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85FE4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4C75E0">
        <w:rPr>
          <w:rFonts w:ascii="Times New Roman" w:hAnsi="Times New Roman" w:cs="Times New Roman"/>
          <w:sz w:val="28"/>
          <w:szCs w:val="28"/>
        </w:rPr>
        <w:t>38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A5"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B832B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832BA">
        <w:rPr>
          <w:rFonts w:ascii="Times New Roman" w:hAnsi="Times New Roman" w:cs="Times New Roman"/>
          <w:sz w:val="28"/>
          <w:szCs w:val="28"/>
        </w:rPr>
        <w:t xml:space="preserve"> </w:t>
      </w:r>
      <w:r w:rsidR="00B832BA" w:rsidRPr="00B832BA">
        <w:rPr>
          <w:rFonts w:ascii="Times New Roman" w:hAnsi="Times New Roman" w:cs="Times New Roman"/>
          <w:sz w:val="28"/>
          <w:szCs w:val="28"/>
        </w:rPr>
        <w:t>10 июля 2023 года № 386</w:t>
      </w: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 xml:space="preserve">а </w:t>
      </w:r>
      <w:r w:rsidR="00A05415"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A05415" w:rsidRPr="00A05415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A05415"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E5D91">
        <w:rPr>
          <w:rFonts w:ascii="Times New Roman" w:hAnsi="Times New Roman" w:cs="Times New Roman"/>
          <w:sz w:val="28"/>
          <w:szCs w:val="28"/>
        </w:rPr>
        <w:t>7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E5D91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4C75E0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E5D91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2BA" w:rsidRDefault="00B832B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4C75E0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DB5299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>жилой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B5299">
        <w:rPr>
          <w:rFonts w:ascii="Times New Roman" w:hAnsi="Times New Roman" w:cs="Times New Roman"/>
          <w:sz w:val="28"/>
          <w:szCs w:val="28"/>
        </w:rPr>
        <w:t xml:space="preserve"> м, по направлению на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Pr="00DB5299">
        <w:rPr>
          <w:rFonts w:ascii="Times New Roman" w:hAnsi="Times New Roman" w:cs="Times New Roman"/>
          <w:sz w:val="28"/>
          <w:szCs w:val="28"/>
        </w:rPr>
        <w:t xml:space="preserve">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 xml:space="preserve">адрес ориентира: </w:t>
      </w:r>
      <w:r w:rsidRPr="004C75E0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район </w:t>
      </w:r>
      <w:proofErr w:type="spellStart"/>
      <w:r w:rsidRPr="004C75E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C75E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C75E0">
        <w:rPr>
          <w:rFonts w:ascii="Times New Roman" w:hAnsi="Times New Roman" w:cs="Times New Roman"/>
          <w:sz w:val="28"/>
          <w:szCs w:val="28"/>
        </w:rPr>
        <w:t>Усть-Алейка</w:t>
      </w:r>
      <w:proofErr w:type="spellEnd"/>
      <w:r w:rsidRPr="004C75E0">
        <w:rPr>
          <w:rFonts w:ascii="Times New Roman" w:hAnsi="Times New Roman" w:cs="Times New Roman"/>
          <w:sz w:val="28"/>
          <w:szCs w:val="28"/>
        </w:rPr>
        <w:t>, ул. Садовая, дом 71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DB5299">
        <w:rPr>
          <w:rFonts w:ascii="Times New Roman" w:hAnsi="Times New Roman" w:cs="Times New Roman"/>
          <w:sz w:val="28"/>
          <w:szCs w:val="28"/>
        </w:rPr>
        <w:t>22:16:0</w:t>
      </w:r>
      <w:r>
        <w:rPr>
          <w:rFonts w:ascii="Times New Roman" w:hAnsi="Times New Roman" w:cs="Times New Roman"/>
          <w:sz w:val="28"/>
          <w:szCs w:val="28"/>
        </w:rPr>
        <w:t>30924</w:t>
      </w:r>
      <w:r w:rsidRPr="00DB5299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5E0">
        <w:rPr>
          <w:rFonts w:ascii="Times New Roman" w:hAnsi="Times New Roman" w:cs="Times New Roman"/>
          <w:sz w:val="28"/>
          <w:szCs w:val="28"/>
        </w:rPr>
        <w:t>412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четыреста двенадцать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4C75E0" w:rsidRPr="008E4CFF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75E0">
        <w:rPr>
          <w:rFonts w:ascii="Times New Roman" w:hAnsi="Times New Roman" w:cs="Times New Roman"/>
          <w:sz w:val="28"/>
          <w:szCs w:val="28"/>
        </w:rPr>
        <w:t>682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шестьсот восемьдесят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4C75E0" w:rsidRDefault="004C75E0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4C75E0">
        <w:rPr>
          <w:rFonts w:ascii="Times New Roman" w:hAnsi="Times New Roman" w:cs="Times New Roman"/>
          <w:sz w:val="28"/>
          <w:szCs w:val="28"/>
        </w:rPr>
        <w:t>252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A86707" w:rsidRDefault="00A86707" w:rsidP="004C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7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07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4C75E0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4C75E0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4C75E0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40AF9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BD0B04">
        <w:rPr>
          <w:rFonts w:ascii="Times New Roman" w:hAnsi="Times New Roman" w:cs="Times New Roman"/>
          <w:sz w:val="28"/>
          <w:szCs w:val="28"/>
        </w:rPr>
        <w:t>азмер тарифа — 1% от начальной цены имущества, включая НДС 20%, но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1900 рублей, включая НДС 20%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175FE" w:rsidRDefault="00B832BA" w:rsidP="00B832B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32BA">
        <w:rPr>
          <w:rFonts w:ascii="Times New Roman" w:hAnsi="Times New Roman" w:cs="Times New Roman"/>
          <w:sz w:val="28"/>
          <w:szCs w:val="28"/>
        </w:rPr>
        <w:t>10 июля 2023 года № 386</w:t>
      </w: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5415">
        <w:rPr>
          <w:rFonts w:ascii="Times New Roman" w:hAnsi="Times New Roman" w:cs="Times New Roman"/>
          <w:sz w:val="28"/>
          <w:szCs w:val="28"/>
        </w:rPr>
        <w:t>аренды земел</w:t>
      </w:r>
      <w:bookmarkStart w:id="0" w:name="_GoBack"/>
      <w:bookmarkEnd w:id="0"/>
      <w:r w:rsidRPr="00A05415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41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91" w:rsidRPr="00CF6651" w:rsidRDefault="008E5D91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9F5E7B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8E5D91" w:rsidRPr="00CF6651" w:rsidRDefault="008E5D91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9F5E7B">
        <w:rPr>
          <w:rFonts w:ascii="Times New Roman" w:hAnsi="Times New Roman" w:cs="Times New Roman"/>
          <w:sz w:val="28"/>
          <w:szCs w:val="28"/>
        </w:rPr>
        <w:t>14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8E5D91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9F5E7B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Приказа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2A084E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FA65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13702E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DB5299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>жилой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B5299">
        <w:rPr>
          <w:rFonts w:ascii="Times New Roman" w:hAnsi="Times New Roman" w:cs="Times New Roman"/>
          <w:sz w:val="28"/>
          <w:szCs w:val="28"/>
        </w:rPr>
        <w:t xml:space="preserve"> м, по направлению на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Pr="00DB5299">
        <w:rPr>
          <w:rFonts w:ascii="Times New Roman" w:hAnsi="Times New Roman" w:cs="Times New Roman"/>
          <w:sz w:val="28"/>
          <w:szCs w:val="28"/>
        </w:rPr>
        <w:t xml:space="preserve">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99">
        <w:rPr>
          <w:rFonts w:ascii="Times New Roman" w:hAnsi="Times New Roman" w:cs="Times New Roman"/>
          <w:sz w:val="28"/>
          <w:szCs w:val="28"/>
        </w:rPr>
        <w:t xml:space="preserve">адрес ориентира: </w:t>
      </w:r>
      <w:r w:rsidRPr="004C75E0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район </w:t>
      </w:r>
      <w:proofErr w:type="spellStart"/>
      <w:r w:rsidRPr="004C75E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C75E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C75E0">
        <w:rPr>
          <w:rFonts w:ascii="Times New Roman" w:hAnsi="Times New Roman" w:cs="Times New Roman"/>
          <w:sz w:val="28"/>
          <w:szCs w:val="28"/>
        </w:rPr>
        <w:t>Усть-Алейка</w:t>
      </w:r>
      <w:proofErr w:type="spellEnd"/>
      <w:r w:rsidRPr="004C75E0">
        <w:rPr>
          <w:rFonts w:ascii="Times New Roman" w:hAnsi="Times New Roman" w:cs="Times New Roman"/>
          <w:sz w:val="28"/>
          <w:szCs w:val="28"/>
        </w:rPr>
        <w:t>, ул. Садовая, дом 71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DB5299">
        <w:rPr>
          <w:rFonts w:ascii="Times New Roman" w:hAnsi="Times New Roman" w:cs="Times New Roman"/>
          <w:sz w:val="28"/>
          <w:szCs w:val="28"/>
        </w:rPr>
        <w:t>22:16:0</w:t>
      </w:r>
      <w:r>
        <w:rPr>
          <w:rFonts w:ascii="Times New Roman" w:hAnsi="Times New Roman" w:cs="Times New Roman"/>
          <w:sz w:val="28"/>
          <w:szCs w:val="28"/>
        </w:rPr>
        <w:t>30924</w:t>
      </w:r>
      <w:r w:rsidRPr="00DB5299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5E0">
        <w:rPr>
          <w:rFonts w:ascii="Times New Roman" w:hAnsi="Times New Roman" w:cs="Times New Roman"/>
          <w:sz w:val="28"/>
          <w:szCs w:val="28"/>
        </w:rPr>
        <w:t>412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четыреста двенадцать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3702E" w:rsidRPr="008E4CFF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75E0">
        <w:rPr>
          <w:rFonts w:ascii="Times New Roman" w:hAnsi="Times New Roman" w:cs="Times New Roman"/>
          <w:sz w:val="28"/>
          <w:szCs w:val="28"/>
        </w:rPr>
        <w:t>682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шестьсот восемьдесят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13702E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4C75E0">
        <w:rPr>
          <w:rFonts w:ascii="Times New Roman" w:hAnsi="Times New Roman" w:cs="Times New Roman"/>
          <w:sz w:val="28"/>
          <w:szCs w:val="28"/>
        </w:rPr>
        <w:t>252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13702E" w:rsidRDefault="0013702E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5B" w:rsidRDefault="00E21A5B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 xml:space="preserve">потребителей электрической энергии, объектов по производству электрической энергии, а </w:t>
      </w:r>
      <w:r w:rsidR="00C5779F">
        <w:rPr>
          <w:rFonts w:ascii="Times New Roman" w:hAnsi="Times New Roman" w:cs="Times New Roman"/>
          <w:sz w:val="28"/>
          <w:szCs w:val="28"/>
        </w:rPr>
        <w:lastRenderedPageBreak/>
        <w:t>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9F"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3E135C" w:rsidRPr="00DB5299">
        <w:rPr>
          <w:rFonts w:ascii="Times New Roman" w:hAnsi="Times New Roman" w:cs="Times New Roman"/>
          <w:sz w:val="28"/>
          <w:szCs w:val="28"/>
        </w:rPr>
        <w:t>22:16:0</w:t>
      </w:r>
      <w:r w:rsidR="003E135C">
        <w:rPr>
          <w:rFonts w:ascii="Times New Roman" w:hAnsi="Times New Roman" w:cs="Times New Roman"/>
          <w:sz w:val="28"/>
          <w:szCs w:val="28"/>
        </w:rPr>
        <w:t>30924</w:t>
      </w:r>
      <w:r w:rsidR="003E135C" w:rsidRPr="00DB5299">
        <w:rPr>
          <w:rFonts w:ascii="Times New Roman" w:hAnsi="Times New Roman" w:cs="Times New Roman"/>
          <w:sz w:val="28"/>
          <w:szCs w:val="28"/>
        </w:rPr>
        <w:t>:1</w:t>
      </w:r>
      <w:r w:rsidR="003E135C">
        <w:rPr>
          <w:rFonts w:ascii="Times New Roman" w:hAnsi="Times New Roman" w:cs="Times New Roman"/>
          <w:sz w:val="28"/>
          <w:szCs w:val="28"/>
        </w:rPr>
        <w:t>8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</w:t>
      </w:r>
      <w:r w:rsidR="003E135C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135C">
        <w:rPr>
          <w:rFonts w:ascii="Times New Roman" w:hAnsi="Times New Roman" w:cs="Times New Roman"/>
          <w:sz w:val="28"/>
          <w:szCs w:val="28"/>
        </w:rPr>
        <w:t xml:space="preserve"> и </w:t>
      </w:r>
      <w:r w:rsidR="008C2AC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02.06.2023 №1.1/03/249</w:t>
      </w:r>
      <w:r w:rsidR="003E135C">
        <w:rPr>
          <w:rFonts w:ascii="Times New Roman" w:hAnsi="Times New Roman" w:cs="Times New Roman"/>
          <w:sz w:val="28"/>
          <w:szCs w:val="28"/>
        </w:rPr>
        <w:t>0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01.06.2023 №</w:t>
      </w:r>
      <w:r w:rsidR="003E135C">
        <w:rPr>
          <w:rFonts w:ascii="Times New Roman" w:hAnsi="Times New Roman" w:cs="Times New Roman"/>
          <w:sz w:val="28"/>
          <w:szCs w:val="28"/>
        </w:rPr>
        <w:t>1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E1A81" w:rsidRP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Усть-Алейский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</w:t>
      </w:r>
      <w:r w:rsidR="003E135C">
        <w:rPr>
          <w:rFonts w:ascii="Times New Roman" w:hAnsi="Times New Roman" w:cs="Times New Roman"/>
          <w:sz w:val="28"/>
          <w:szCs w:val="28"/>
        </w:rPr>
        <w:t>2</w:t>
      </w:r>
      <w:r w:rsidR="00F977BF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Усть-Алейский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C04C72" w:rsidRDefault="00C04C72" w:rsidP="00C0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3E135C">
        <w:rPr>
          <w:rFonts w:ascii="Times New Roman" w:hAnsi="Times New Roman" w:cs="Times New Roman"/>
          <w:sz w:val="28"/>
          <w:szCs w:val="28"/>
        </w:rPr>
        <w:t>7</w:t>
      </w:r>
      <w:r w:rsidR="00E13DAF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7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3E135C">
        <w:rPr>
          <w:rFonts w:ascii="Times New Roman" w:hAnsi="Times New Roman" w:cs="Times New Roman"/>
          <w:sz w:val="28"/>
          <w:szCs w:val="28"/>
        </w:rPr>
        <w:t>14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3E135C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5F7303" w:rsidRPr="00CF6651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3E135C">
        <w:rPr>
          <w:rFonts w:ascii="Times New Roman" w:hAnsi="Times New Roman" w:cs="Times New Roman"/>
          <w:sz w:val="28"/>
          <w:szCs w:val="28"/>
        </w:rPr>
        <w:t>16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0007B">
        <w:rPr>
          <w:rFonts w:ascii="Times New Roman" w:hAnsi="Times New Roman" w:cs="Times New Roman"/>
          <w:sz w:val="28"/>
          <w:szCs w:val="28"/>
        </w:rPr>
        <w:t>8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lastRenderedPageBreak/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  <w:proofErr w:type="gramEnd"/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B661F">
        <w:rPr>
          <w:rFonts w:ascii="Times New Roman" w:hAnsi="Times New Roman" w:cs="Times New Roman"/>
          <w:sz w:val="28"/>
          <w:szCs w:val="28"/>
        </w:rPr>
        <w:t>Арендодател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аренды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 w:rsidR="003175BD">
        <w:rPr>
          <w:rFonts w:ascii="Times New Roman" w:hAnsi="Times New Roman" w:cs="Times New Roman"/>
          <w:sz w:val="28"/>
          <w:szCs w:val="28"/>
        </w:rPr>
        <w:t>3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E95597" w:rsidRDefault="00E95597" w:rsidP="00E9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 w:rsidR="003F2DC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>6.6. Настоящий договор составлен в 3-х экземплярах: по одному экземпляру для каждой из сторон, один экземпляр - Управлению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47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02.06.2023 №1.1/03/2490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01.06.2023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3175BD">
        <w:rPr>
          <w:rFonts w:ascii="Times New Roman" w:hAnsi="Times New Roman" w:cs="Times New Roman"/>
          <w:sz w:val="28"/>
          <w:szCs w:val="28"/>
        </w:rPr>
        <w:t>Усть-Алейский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549DC">
        <w:rPr>
          <w:rFonts w:ascii="Times New Roman" w:hAnsi="Times New Roman" w:cs="Times New Roman"/>
          <w:sz w:val="28"/>
          <w:szCs w:val="28"/>
        </w:rPr>
        <w:t xml:space="preserve"> от 26.06.2023 №1432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Pr="00E05824" w:rsidRDefault="00E05824" w:rsidP="00E058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5824" w:rsidRP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82" w:rsidRDefault="00A25082" w:rsidP="006A0FD6">
      <w:pPr>
        <w:spacing w:after="0" w:line="240" w:lineRule="auto"/>
      </w:pPr>
      <w:r>
        <w:separator/>
      </w:r>
    </w:p>
  </w:endnote>
  <w:endnote w:type="continuationSeparator" w:id="0">
    <w:p w:rsidR="00A25082" w:rsidRDefault="00A25082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82" w:rsidRDefault="00A25082" w:rsidP="006A0FD6">
      <w:pPr>
        <w:spacing w:after="0" w:line="240" w:lineRule="auto"/>
      </w:pPr>
      <w:r>
        <w:separator/>
      </w:r>
    </w:p>
  </w:footnote>
  <w:footnote w:type="continuationSeparator" w:id="0">
    <w:p w:rsidR="00A25082" w:rsidRDefault="00A25082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13702E" w:rsidRDefault="001370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1CE2"/>
    <w:rsid w:val="00027BB2"/>
    <w:rsid w:val="00032651"/>
    <w:rsid w:val="00040C49"/>
    <w:rsid w:val="00046EF4"/>
    <w:rsid w:val="00061C0D"/>
    <w:rsid w:val="0007205E"/>
    <w:rsid w:val="00072B7B"/>
    <w:rsid w:val="000A08EB"/>
    <w:rsid w:val="000B06DE"/>
    <w:rsid w:val="000D59EF"/>
    <w:rsid w:val="000F11DF"/>
    <w:rsid w:val="000F1B56"/>
    <w:rsid w:val="000F6CA0"/>
    <w:rsid w:val="00101B6C"/>
    <w:rsid w:val="001230DD"/>
    <w:rsid w:val="00136FD4"/>
    <w:rsid w:val="0013702E"/>
    <w:rsid w:val="001372F6"/>
    <w:rsid w:val="00150CAE"/>
    <w:rsid w:val="0015558B"/>
    <w:rsid w:val="00163E61"/>
    <w:rsid w:val="001645D3"/>
    <w:rsid w:val="001A27B7"/>
    <w:rsid w:val="001B6C6A"/>
    <w:rsid w:val="001C691B"/>
    <w:rsid w:val="001D7285"/>
    <w:rsid w:val="001D7BF0"/>
    <w:rsid w:val="001E1A81"/>
    <w:rsid w:val="001F2CF7"/>
    <w:rsid w:val="00213C05"/>
    <w:rsid w:val="00225038"/>
    <w:rsid w:val="00230F9D"/>
    <w:rsid w:val="00235893"/>
    <w:rsid w:val="00236E79"/>
    <w:rsid w:val="00246862"/>
    <w:rsid w:val="002472DD"/>
    <w:rsid w:val="00255314"/>
    <w:rsid w:val="0026345B"/>
    <w:rsid w:val="00263AFE"/>
    <w:rsid w:val="002A084E"/>
    <w:rsid w:val="002A4E1A"/>
    <w:rsid w:val="002B1977"/>
    <w:rsid w:val="002C23C2"/>
    <w:rsid w:val="002C4ACD"/>
    <w:rsid w:val="002D4674"/>
    <w:rsid w:val="002D537D"/>
    <w:rsid w:val="002D6D0A"/>
    <w:rsid w:val="002E3310"/>
    <w:rsid w:val="003018ED"/>
    <w:rsid w:val="003153EF"/>
    <w:rsid w:val="003175BD"/>
    <w:rsid w:val="003233F9"/>
    <w:rsid w:val="00327B10"/>
    <w:rsid w:val="0033667A"/>
    <w:rsid w:val="00346EC4"/>
    <w:rsid w:val="00351FA1"/>
    <w:rsid w:val="00366355"/>
    <w:rsid w:val="003665D7"/>
    <w:rsid w:val="003927B9"/>
    <w:rsid w:val="003A4BCC"/>
    <w:rsid w:val="003A7329"/>
    <w:rsid w:val="003C03F0"/>
    <w:rsid w:val="003C0F91"/>
    <w:rsid w:val="003C14B6"/>
    <w:rsid w:val="003D12B7"/>
    <w:rsid w:val="003D1361"/>
    <w:rsid w:val="003E135C"/>
    <w:rsid w:val="003E34E1"/>
    <w:rsid w:val="003F0FA3"/>
    <w:rsid w:val="003F15A0"/>
    <w:rsid w:val="003F2728"/>
    <w:rsid w:val="003F2DC1"/>
    <w:rsid w:val="003F340C"/>
    <w:rsid w:val="0041505C"/>
    <w:rsid w:val="00442446"/>
    <w:rsid w:val="00470B79"/>
    <w:rsid w:val="004A08A0"/>
    <w:rsid w:val="004A5C81"/>
    <w:rsid w:val="004A7B6F"/>
    <w:rsid w:val="004B4111"/>
    <w:rsid w:val="004B6EC6"/>
    <w:rsid w:val="004C75E0"/>
    <w:rsid w:val="0050180F"/>
    <w:rsid w:val="00514750"/>
    <w:rsid w:val="005441F0"/>
    <w:rsid w:val="005514E5"/>
    <w:rsid w:val="00574F84"/>
    <w:rsid w:val="00577BF1"/>
    <w:rsid w:val="00581B91"/>
    <w:rsid w:val="00582336"/>
    <w:rsid w:val="0058733D"/>
    <w:rsid w:val="005935A6"/>
    <w:rsid w:val="005967F2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24BA5"/>
    <w:rsid w:val="00625783"/>
    <w:rsid w:val="0063776A"/>
    <w:rsid w:val="00642C5B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54B2D"/>
    <w:rsid w:val="00754FF9"/>
    <w:rsid w:val="007561C6"/>
    <w:rsid w:val="007666D3"/>
    <w:rsid w:val="00766EC3"/>
    <w:rsid w:val="00780A34"/>
    <w:rsid w:val="00780FEE"/>
    <w:rsid w:val="00782140"/>
    <w:rsid w:val="007A2D46"/>
    <w:rsid w:val="007C306E"/>
    <w:rsid w:val="007C30F1"/>
    <w:rsid w:val="007C5447"/>
    <w:rsid w:val="007D6B55"/>
    <w:rsid w:val="007E2F4D"/>
    <w:rsid w:val="008005BE"/>
    <w:rsid w:val="00800BF5"/>
    <w:rsid w:val="0080243F"/>
    <w:rsid w:val="00837147"/>
    <w:rsid w:val="00837E18"/>
    <w:rsid w:val="00874C35"/>
    <w:rsid w:val="00893634"/>
    <w:rsid w:val="008A046F"/>
    <w:rsid w:val="008A6091"/>
    <w:rsid w:val="008A632F"/>
    <w:rsid w:val="008A7899"/>
    <w:rsid w:val="008B62E2"/>
    <w:rsid w:val="008C0C5D"/>
    <w:rsid w:val="008C2AC7"/>
    <w:rsid w:val="008C5AE4"/>
    <w:rsid w:val="008D1F89"/>
    <w:rsid w:val="008E4CFF"/>
    <w:rsid w:val="008E5D91"/>
    <w:rsid w:val="008F3EED"/>
    <w:rsid w:val="00900E78"/>
    <w:rsid w:val="0090238B"/>
    <w:rsid w:val="00905096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A93"/>
    <w:rsid w:val="009847E8"/>
    <w:rsid w:val="0098587B"/>
    <w:rsid w:val="009924D8"/>
    <w:rsid w:val="0099255A"/>
    <w:rsid w:val="009A3671"/>
    <w:rsid w:val="009B5888"/>
    <w:rsid w:val="009C0079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25082"/>
    <w:rsid w:val="00A3796C"/>
    <w:rsid w:val="00A549DC"/>
    <w:rsid w:val="00A551BF"/>
    <w:rsid w:val="00A62109"/>
    <w:rsid w:val="00A621A5"/>
    <w:rsid w:val="00A86707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943"/>
    <w:rsid w:val="00B642D0"/>
    <w:rsid w:val="00B66933"/>
    <w:rsid w:val="00B832BA"/>
    <w:rsid w:val="00B93E11"/>
    <w:rsid w:val="00BB0B89"/>
    <w:rsid w:val="00BB3D3E"/>
    <w:rsid w:val="00BB6CAB"/>
    <w:rsid w:val="00BD0B04"/>
    <w:rsid w:val="00BD5DE4"/>
    <w:rsid w:val="00BF4DF2"/>
    <w:rsid w:val="00C028DF"/>
    <w:rsid w:val="00C04C72"/>
    <w:rsid w:val="00C178A8"/>
    <w:rsid w:val="00C22270"/>
    <w:rsid w:val="00C2578A"/>
    <w:rsid w:val="00C41A7A"/>
    <w:rsid w:val="00C47752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C1F56"/>
    <w:rsid w:val="00CE08D0"/>
    <w:rsid w:val="00CF6651"/>
    <w:rsid w:val="00D00332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43421"/>
    <w:rsid w:val="00D65956"/>
    <w:rsid w:val="00D721F1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D022B"/>
    <w:rsid w:val="00DE4D63"/>
    <w:rsid w:val="00DE7DB2"/>
    <w:rsid w:val="00DF2999"/>
    <w:rsid w:val="00E05824"/>
    <w:rsid w:val="00E07492"/>
    <w:rsid w:val="00E1194A"/>
    <w:rsid w:val="00E13DAF"/>
    <w:rsid w:val="00E175FE"/>
    <w:rsid w:val="00E21A5B"/>
    <w:rsid w:val="00E26458"/>
    <w:rsid w:val="00E321A6"/>
    <w:rsid w:val="00E367D6"/>
    <w:rsid w:val="00E36ADD"/>
    <w:rsid w:val="00E403C2"/>
    <w:rsid w:val="00E6554F"/>
    <w:rsid w:val="00E7226F"/>
    <w:rsid w:val="00E94C7F"/>
    <w:rsid w:val="00E95597"/>
    <w:rsid w:val="00EA3E85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C42"/>
    <w:rsid w:val="00F2042C"/>
    <w:rsid w:val="00F217D7"/>
    <w:rsid w:val="00F21E67"/>
    <w:rsid w:val="00F405BF"/>
    <w:rsid w:val="00F43090"/>
    <w:rsid w:val="00F527F6"/>
    <w:rsid w:val="00F70C5B"/>
    <w:rsid w:val="00F845FD"/>
    <w:rsid w:val="00F90DCC"/>
    <w:rsid w:val="00F954F5"/>
    <w:rsid w:val="00F977BF"/>
    <w:rsid w:val="00FA65C3"/>
    <w:rsid w:val="00FB2AFA"/>
    <w:rsid w:val="00FC2392"/>
    <w:rsid w:val="00FC255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4E2D-20DC-447A-8CEE-DA297336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28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211</cp:revision>
  <cp:lastPrinted>2023-07-11T05:07:00Z</cp:lastPrinted>
  <dcterms:created xsi:type="dcterms:W3CDTF">2023-01-19T07:41:00Z</dcterms:created>
  <dcterms:modified xsi:type="dcterms:W3CDTF">2023-07-13T09:07:00Z</dcterms:modified>
</cp:coreProperties>
</file>