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B7" w:rsidRPr="00A76C4F" w:rsidRDefault="000939B7" w:rsidP="00E156FE">
      <w:pPr>
        <w:jc w:val="right"/>
        <w:rPr>
          <w:b/>
          <w:sz w:val="28"/>
          <w:szCs w:val="28"/>
          <w:lang w:val="ru-RU"/>
        </w:rPr>
      </w:pPr>
    </w:p>
    <w:p w:rsidR="000939B7" w:rsidRPr="00A76C4F" w:rsidRDefault="000939B7" w:rsidP="00D11796">
      <w:pPr>
        <w:jc w:val="center"/>
        <w:rPr>
          <w:b/>
          <w:sz w:val="28"/>
          <w:szCs w:val="28"/>
          <w:lang w:val="ru-RU"/>
        </w:rPr>
      </w:pPr>
      <w:r w:rsidRPr="00A76C4F">
        <w:rPr>
          <w:b/>
          <w:sz w:val="28"/>
          <w:szCs w:val="28"/>
          <w:lang w:val="ru-RU"/>
        </w:rPr>
        <w:t>РАЙОННОЕ СОБРАНИЕ ДЕПУТАТОВ КАЛМАНСКОГО РАЙОНА</w:t>
      </w:r>
    </w:p>
    <w:p w:rsidR="000939B7" w:rsidRPr="00A76C4F" w:rsidRDefault="000939B7" w:rsidP="00D11796">
      <w:pPr>
        <w:jc w:val="center"/>
        <w:rPr>
          <w:b/>
          <w:sz w:val="28"/>
          <w:szCs w:val="28"/>
          <w:lang w:val="ru-RU"/>
        </w:rPr>
      </w:pPr>
      <w:r w:rsidRPr="00A76C4F">
        <w:rPr>
          <w:b/>
          <w:sz w:val="28"/>
          <w:szCs w:val="28"/>
          <w:lang w:val="ru-RU"/>
        </w:rPr>
        <w:t>АЛТАЙСКОГО КРАЯ</w:t>
      </w:r>
    </w:p>
    <w:p w:rsidR="000939B7" w:rsidRPr="00A76C4F" w:rsidRDefault="000939B7" w:rsidP="00D11796">
      <w:pPr>
        <w:jc w:val="center"/>
        <w:rPr>
          <w:b/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b/>
          <w:sz w:val="28"/>
          <w:szCs w:val="28"/>
          <w:lang w:val="ru-RU"/>
        </w:rPr>
      </w:pPr>
    </w:p>
    <w:p w:rsidR="000939B7" w:rsidRPr="00A76C4F" w:rsidRDefault="000939B7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A76C4F">
        <w:rPr>
          <w:b/>
          <w:spacing w:val="20"/>
          <w:sz w:val="28"/>
          <w:szCs w:val="28"/>
          <w:lang w:val="ru-RU"/>
        </w:rPr>
        <w:t>РЕШЕНИЕ</w:t>
      </w: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val="ru-RU"/>
          </w:rPr>
          <w:t>2016 г</w:t>
        </w:r>
      </w:smartTag>
      <w:r>
        <w:rPr>
          <w:sz w:val="28"/>
          <w:szCs w:val="28"/>
          <w:lang w:val="ru-RU"/>
        </w:rPr>
        <w:t>.  № 4</w:t>
      </w:r>
      <w:r w:rsidRPr="00A76C4F">
        <w:rPr>
          <w:sz w:val="28"/>
          <w:szCs w:val="28"/>
          <w:lang w:val="ru-RU"/>
        </w:rPr>
        <w:t xml:space="preserve">                                                                       с. Калма</w:t>
      </w:r>
      <w:r w:rsidRPr="00A76C4F">
        <w:rPr>
          <w:sz w:val="28"/>
          <w:szCs w:val="28"/>
          <w:lang w:val="ru-RU"/>
        </w:rPr>
        <w:t>н</w:t>
      </w:r>
      <w:r w:rsidRPr="00A76C4F">
        <w:rPr>
          <w:sz w:val="28"/>
          <w:szCs w:val="28"/>
          <w:lang w:val="ru-RU"/>
        </w:rPr>
        <w:t>ка</w:t>
      </w: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230AB7">
      <w:pPr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Об утверждении отчета аудитора</w:t>
      </w:r>
    </w:p>
    <w:p w:rsidR="000939B7" w:rsidRPr="00A76C4F" w:rsidRDefault="000939B7" w:rsidP="00230A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A76C4F">
        <w:rPr>
          <w:sz w:val="28"/>
          <w:szCs w:val="28"/>
          <w:lang w:val="ru-RU"/>
        </w:rPr>
        <w:t xml:space="preserve">онтрольно-счетной палаты </w:t>
      </w:r>
    </w:p>
    <w:p w:rsidR="000939B7" w:rsidRDefault="000939B7" w:rsidP="00230AB7">
      <w:pPr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Калманского района«О деятель</w:t>
      </w:r>
      <w:r>
        <w:rPr>
          <w:sz w:val="28"/>
          <w:szCs w:val="28"/>
          <w:lang w:val="ru-RU"/>
        </w:rPr>
        <w:t>-</w:t>
      </w:r>
    </w:p>
    <w:p w:rsidR="000939B7" w:rsidRPr="00A76C4F" w:rsidRDefault="000939B7" w:rsidP="00230AB7">
      <w:pPr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ности контрольно–счетной палаты</w:t>
      </w:r>
    </w:p>
    <w:p w:rsidR="000939B7" w:rsidRPr="00A76C4F" w:rsidRDefault="000939B7" w:rsidP="00230AB7">
      <w:pPr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Калманского района за 2015 год»</w:t>
      </w:r>
    </w:p>
    <w:p w:rsidR="000939B7" w:rsidRPr="00A76C4F" w:rsidRDefault="000939B7" w:rsidP="00230AB7">
      <w:pPr>
        <w:rPr>
          <w:sz w:val="28"/>
          <w:szCs w:val="28"/>
          <w:lang w:val="ru-RU"/>
        </w:rPr>
      </w:pPr>
    </w:p>
    <w:p w:rsidR="000939B7" w:rsidRPr="00A76C4F" w:rsidRDefault="000939B7" w:rsidP="00230AB7">
      <w:pPr>
        <w:rPr>
          <w:sz w:val="28"/>
          <w:szCs w:val="28"/>
          <w:lang w:val="ru-RU"/>
        </w:rPr>
      </w:pPr>
    </w:p>
    <w:p w:rsidR="000939B7" w:rsidRPr="00A76C4F" w:rsidRDefault="000939B7" w:rsidP="00D80475">
      <w:pPr>
        <w:ind w:firstLine="709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Заслушав и обсудив отчет аудитора контрольно-счетной палаты Ка</w:t>
      </w:r>
      <w:r w:rsidRPr="00A76C4F">
        <w:rPr>
          <w:sz w:val="28"/>
          <w:szCs w:val="28"/>
          <w:lang w:val="ru-RU"/>
        </w:rPr>
        <w:t>л</w:t>
      </w:r>
      <w:r w:rsidRPr="00A76C4F">
        <w:rPr>
          <w:sz w:val="28"/>
          <w:szCs w:val="28"/>
          <w:lang w:val="ru-RU"/>
        </w:rPr>
        <w:t>манского района Скворцова О.С., руководствуясь Уставом муниципального образования Калманский район Алтайского края, районное Собрание  деп</w:t>
      </w:r>
      <w:r w:rsidRPr="00A76C4F">
        <w:rPr>
          <w:sz w:val="28"/>
          <w:szCs w:val="28"/>
          <w:lang w:val="ru-RU"/>
        </w:rPr>
        <w:t>у</w:t>
      </w:r>
      <w:r w:rsidRPr="00A76C4F">
        <w:rPr>
          <w:sz w:val="28"/>
          <w:szCs w:val="28"/>
          <w:lang w:val="ru-RU"/>
        </w:rPr>
        <w:t>татов</w:t>
      </w:r>
    </w:p>
    <w:p w:rsidR="000939B7" w:rsidRPr="00A76C4F" w:rsidRDefault="000939B7" w:rsidP="00D80475">
      <w:pPr>
        <w:ind w:firstLine="709"/>
        <w:rPr>
          <w:sz w:val="28"/>
          <w:szCs w:val="28"/>
          <w:lang w:val="ru-RU"/>
        </w:rPr>
      </w:pPr>
    </w:p>
    <w:p w:rsidR="000939B7" w:rsidRPr="00A76C4F" w:rsidRDefault="000939B7" w:rsidP="00D80475">
      <w:pPr>
        <w:ind w:firstLine="709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 xml:space="preserve">РЕШИЛО: </w:t>
      </w: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ab/>
      </w:r>
    </w:p>
    <w:p w:rsidR="000939B7" w:rsidRPr="00A76C4F" w:rsidRDefault="000939B7" w:rsidP="00D80475">
      <w:pPr>
        <w:ind w:firstLine="709"/>
        <w:jc w:val="both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1. Утвердить  отчет аудитора контрольно-счетной палаты Калманского района «О деятельности контрольно-счетной палаты Калманского района Алтайского края за 2015 год» (прилагается).</w:t>
      </w:r>
    </w:p>
    <w:p w:rsidR="000939B7" w:rsidRDefault="000939B7" w:rsidP="00D80475">
      <w:pPr>
        <w:ind w:firstLine="709"/>
        <w:jc w:val="both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2. Опубликовать настоящее решение  в районной газете «Заря Пр</w:t>
      </w:r>
      <w:r w:rsidRPr="00A76C4F">
        <w:rPr>
          <w:sz w:val="28"/>
          <w:szCs w:val="28"/>
          <w:lang w:val="ru-RU"/>
        </w:rPr>
        <w:t>и</w:t>
      </w:r>
      <w:r w:rsidRPr="00A76C4F">
        <w:rPr>
          <w:sz w:val="28"/>
          <w:szCs w:val="28"/>
          <w:lang w:val="ru-RU"/>
        </w:rPr>
        <w:t>обья»</w:t>
      </w:r>
      <w:r>
        <w:rPr>
          <w:sz w:val="28"/>
          <w:szCs w:val="28"/>
          <w:lang w:val="ru-RU"/>
        </w:rPr>
        <w:t xml:space="preserve"> и разместить на официальном сайте администрации Калманского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она в сети Интернет</w:t>
      </w:r>
      <w:r w:rsidRPr="00A76C4F">
        <w:rPr>
          <w:sz w:val="28"/>
          <w:szCs w:val="28"/>
          <w:lang w:val="ru-RU"/>
        </w:rPr>
        <w:t>.</w:t>
      </w:r>
    </w:p>
    <w:p w:rsidR="000939B7" w:rsidRPr="00A76C4F" w:rsidRDefault="000939B7" w:rsidP="00D8047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Контроль за исполнением данного решения возложить на постоя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ную комиссию районного Собрания  депутатов по бюджету и вопросам м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стного самоуправления (В.П. Хвостова).</w:t>
      </w:r>
    </w:p>
    <w:p w:rsidR="000939B7" w:rsidRPr="00A76C4F" w:rsidRDefault="000939B7" w:rsidP="00D80475">
      <w:pPr>
        <w:ind w:firstLine="709"/>
        <w:jc w:val="both"/>
        <w:rPr>
          <w:sz w:val="28"/>
          <w:szCs w:val="28"/>
          <w:lang w:val="ru-RU"/>
        </w:rPr>
      </w:pPr>
    </w:p>
    <w:p w:rsidR="000939B7" w:rsidRPr="00A76C4F" w:rsidRDefault="000939B7" w:rsidP="00D80475">
      <w:pPr>
        <w:ind w:firstLine="709"/>
        <w:jc w:val="both"/>
        <w:rPr>
          <w:sz w:val="28"/>
          <w:szCs w:val="28"/>
          <w:lang w:val="ru-RU"/>
        </w:rPr>
      </w:pPr>
    </w:p>
    <w:p w:rsidR="000939B7" w:rsidRPr="00A76C4F" w:rsidRDefault="000939B7" w:rsidP="00D80475">
      <w:pPr>
        <w:ind w:firstLine="709"/>
        <w:jc w:val="both"/>
        <w:rPr>
          <w:sz w:val="28"/>
          <w:szCs w:val="28"/>
          <w:lang w:val="ru-RU"/>
        </w:rPr>
      </w:pPr>
      <w:r w:rsidRPr="00A76C4F">
        <w:rPr>
          <w:sz w:val="28"/>
          <w:szCs w:val="28"/>
          <w:lang w:val="ru-RU"/>
        </w:rPr>
        <w:t>Глава района                                                                        А.А. Вундер</w:t>
      </w:r>
    </w:p>
    <w:p w:rsidR="000939B7" w:rsidRPr="00A76C4F" w:rsidRDefault="000939B7" w:rsidP="00D612F4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Pr="00A76C4F" w:rsidRDefault="000939B7" w:rsidP="00D11796">
      <w:pPr>
        <w:jc w:val="both"/>
        <w:rPr>
          <w:sz w:val="28"/>
          <w:szCs w:val="28"/>
          <w:lang w:val="ru-RU"/>
        </w:rPr>
      </w:pPr>
    </w:p>
    <w:p w:rsidR="000939B7" w:rsidRDefault="000939B7" w:rsidP="00B365B2">
      <w:pPr>
        <w:pStyle w:val="Header"/>
        <w:tabs>
          <w:tab w:val="clear" w:pos="4153"/>
          <w:tab w:val="clear" w:pos="8306"/>
        </w:tabs>
        <w:ind w:firstLine="0"/>
        <w:rPr>
          <w:szCs w:val="28"/>
          <w:lang w:eastAsia="en-US"/>
        </w:rPr>
      </w:pPr>
    </w:p>
    <w:p w:rsidR="000939B7" w:rsidRPr="00A76C4F" w:rsidRDefault="000939B7" w:rsidP="00B365B2">
      <w:pPr>
        <w:pStyle w:val="Header"/>
        <w:tabs>
          <w:tab w:val="clear" w:pos="4153"/>
          <w:tab w:val="clear" w:pos="8306"/>
        </w:tabs>
        <w:ind w:firstLine="0"/>
        <w:rPr>
          <w:szCs w:val="28"/>
        </w:rPr>
      </w:pPr>
    </w:p>
    <w:p w:rsidR="000939B7" w:rsidRPr="00F2250F" w:rsidRDefault="000939B7" w:rsidP="00F2250F">
      <w:pPr>
        <w:pStyle w:val="Header"/>
        <w:tabs>
          <w:tab w:val="clear" w:pos="4153"/>
          <w:tab w:val="clear" w:pos="8306"/>
        </w:tabs>
        <w:ind w:left="6237" w:firstLine="0"/>
        <w:rPr>
          <w:sz w:val="20"/>
        </w:rPr>
      </w:pPr>
      <w:bookmarkStart w:id="0" w:name="_GoBack"/>
    </w:p>
    <w:p w:rsidR="000939B7" w:rsidRPr="005A48A3" w:rsidRDefault="000939B7" w:rsidP="00F2250F">
      <w:pPr>
        <w:pStyle w:val="Header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5A48A3">
        <w:rPr>
          <w:szCs w:val="28"/>
        </w:rPr>
        <w:t xml:space="preserve">Приложение </w:t>
      </w:r>
    </w:p>
    <w:p w:rsidR="000939B7" w:rsidRPr="005A48A3" w:rsidRDefault="000939B7" w:rsidP="00F2250F">
      <w:pPr>
        <w:ind w:left="6237"/>
        <w:jc w:val="both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 решению районного</w:t>
      </w:r>
    </w:p>
    <w:p w:rsidR="000939B7" w:rsidRPr="005A48A3" w:rsidRDefault="000939B7" w:rsidP="00F2250F">
      <w:pPr>
        <w:jc w:val="both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 xml:space="preserve">                                                                                         Собрания депутатов</w:t>
      </w:r>
    </w:p>
    <w:p w:rsidR="000939B7" w:rsidRPr="005A48A3" w:rsidRDefault="000939B7" w:rsidP="00F2250F">
      <w:pPr>
        <w:jc w:val="both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 w:rsidRPr="005A48A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от </w:t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</w:r>
      <w:r>
        <w:rPr>
          <w:sz w:val="28"/>
          <w:szCs w:val="28"/>
          <w:lang w:val="ru-RU"/>
        </w:rPr>
        <w:softHyphen/>
        <w:t xml:space="preserve"> 17.02.2016 г. № 4</w:t>
      </w:r>
    </w:p>
    <w:p w:rsidR="000939B7" w:rsidRPr="005A48A3" w:rsidRDefault="000939B7" w:rsidP="00F2250F">
      <w:pPr>
        <w:jc w:val="both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ОТЧЕТ</w:t>
      </w:r>
    </w:p>
    <w:p w:rsidR="000939B7" w:rsidRPr="005A48A3" w:rsidRDefault="000939B7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о деятельности контрольно-счетной палаты</w:t>
      </w:r>
    </w:p>
    <w:p w:rsidR="000939B7" w:rsidRPr="005A48A3" w:rsidRDefault="000939B7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Калманского района Алтайского края</w:t>
      </w:r>
    </w:p>
    <w:p w:rsidR="000939B7" w:rsidRPr="005A48A3" w:rsidRDefault="000939B7" w:rsidP="005A48A3">
      <w:pPr>
        <w:ind w:firstLine="851"/>
        <w:jc w:val="center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за 2015 год</w:t>
      </w:r>
    </w:p>
    <w:p w:rsidR="000939B7" w:rsidRPr="005A48A3" w:rsidRDefault="000939B7" w:rsidP="00F2250F">
      <w:pPr>
        <w:tabs>
          <w:tab w:val="left" w:pos="0"/>
        </w:tabs>
        <w:ind w:right="-1" w:firstLine="851"/>
        <w:jc w:val="both"/>
        <w:outlineLvl w:val="0"/>
        <w:rPr>
          <w:b/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1. Общие сведения о деятельности контрольно-счетной палаты Калманского района Алтайского края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Контрольно-счетная палата Калманского района Алтайского края (д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лее – контрольно-счетная палата) является постоянно действующим органом внешнего муниципального финансового контроля, входит в структуру орг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 xml:space="preserve">нов местного самоуправления, образуется районным Собранием депутатов и ему подотчетна.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Компетенция контрольно-счетной палаты Калманского района  А</w:t>
      </w:r>
      <w:r w:rsidRPr="005A48A3">
        <w:rPr>
          <w:sz w:val="28"/>
          <w:szCs w:val="28"/>
          <w:lang w:val="ru-RU"/>
        </w:rPr>
        <w:t>л</w:t>
      </w:r>
      <w:r w:rsidRPr="005A48A3">
        <w:rPr>
          <w:sz w:val="28"/>
          <w:szCs w:val="28"/>
          <w:lang w:val="ru-RU"/>
        </w:rPr>
        <w:t>тайского края определена Бюджетным кодексом Российской Федерации, У</w:t>
      </w:r>
      <w:r w:rsidRPr="005A48A3">
        <w:rPr>
          <w:sz w:val="28"/>
          <w:szCs w:val="28"/>
          <w:lang w:val="ru-RU"/>
        </w:rPr>
        <w:t>с</w:t>
      </w:r>
      <w:r w:rsidRPr="005A48A3">
        <w:rPr>
          <w:sz w:val="28"/>
          <w:szCs w:val="28"/>
          <w:lang w:val="ru-RU"/>
        </w:rPr>
        <w:t>тавом  муниципального образования Калманский район Алтайского края, Положением «О контрольно-счетной палате Калманского района Алтайского края», Положением  «О бюджетном устройстве, бюджетном процессе и ф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 xml:space="preserve">нансовом контроле в муниципальном образовании Калманский район».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соответствии с Положением «О контрольно-счетной  палате ра</w:t>
      </w:r>
      <w:r w:rsidRPr="005A48A3">
        <w:rPr>
          <w:sz w:val="28"/>
          <w:szCs w:val="28"/>
          <w:lang w:val="ru-RU"/>
        </w:rPr>
        <w:t>й</w:t>
      </w:r>
      <w:r w:rsidRPr="005A48A3">
        <w:rPr>
          <w:sz w:val="28"/>
          <w:szCs w:val="28"/>
          <w:lang w:val="ru-RU"/>
        </w:rPr>
        <w:t>она» она   является участником бюджетного процесса, обладающим бюдже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 xml:space="preserve">ными полномочиями.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своей деятельности контрольно-счетная палата руководствуется Конституцией Российской Федерации, законами Российской Федерации, А</w:t>
      </w:r>
      <w:r w:rsidRPr="005A48A3">
        <w:rPr>
          <w:sz w:val="28"/>
          <w:szCs w:val="28"/>
          <w:lang w:val="ru-RU"/>
        </w:rPr>
        <w:t>л</w:t>
      </w:r>
      <w:r w:rsidRPr="005A48A3">
        <w:rPr>
          <w:sz w:val="28"/>
          <w:szCs w:val="28"/>
          <w:lang w:val="ru-RU"/>
        </w:rPr>
        <w:t>тайского края и нормативными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правовыми актами района, а так же иными нормативными правовыми актами Российской Федерации и Алтайского края.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процессе реализации задач, определенных Положением «О 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трольно-счетной палате Калманского района Алтайского края», контрольно-счетная палата осуществляет контрольную, экспертно-аналитическую, и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формационную и иные виды деятельности, основанные на принципах зако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ности, объективности, эффективности, независимости, гласности и послед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 xml:space="preserve">вательной реализации всех форм финансового контроля: предварительного, оперативного и последующего.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Комплекс контрольных и экспертно-аналитических мероприятий 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трольно-счетной палаты в 2015 году составлял единую систему контроля за формированием и исполнением бюджета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района, и бюджетов муниципал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 xml:space="preserve">ных образований входящих в состав Калманского района на всех стадиях бюджетного процесса.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Контрольные полномочия контрольно-счетной палаты в отчетном п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риоде распространялись на муниципальные органы, организации и учрежд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ния Калманского района Алтайского края, органы местного самоуправления муниципальных образований - получателей межбюджетных трансфертов из краевого и районного бюджетов.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План работы контрольно-счетной палаты на 2015 год, утвержденный распоряжением аудитора  контрольно-счетной палаты №29 от 29.12.2014 (с изменениями от 05.11.2015),исполнен в полном объеме.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2015году проведено 35 контрольных и экспертно–аналитических мероприятий, в том числе 3 документальные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проверки и 32 экспертизы пр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ектов нормативных правовых актов, как районного уровня, так и уровня п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 xml:space="preserve">селений входящих в состав района, столько же сколько за 2014 год.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Для осуществления деятельности контрольно-счетной палаты в бю</w:t>
      </w:r>
      <w:r w:rsidRPr="005A48A3">
        <w:rPr>
          <w:sz w:val="28"/>
          <w:szCs w:val="28"/>
          <w:lang w:val="ru-RU"/>
        </w:rPr>
        <w:t>д</w:t>
      </w:r>
      <w:r w:rsidRPr="005A48A3">
        <w:rPr>
          <w:sz w:val="28"/>
          <w:szCs w:val="28"/>
          <w:lang w:val="ru-RU"/>
        </w:rPr>
        <w:t>жете муниципального образования Калманский район на 2015 год была пр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дусмотрена сумма 413,36 тыс. рублей. Исполнение по итогам отчетного п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риода составило 99,9% (413,30 тыс. рублей). Это больше чем в 2014 году на 16,06 тыс. рублей. Из определенной решением о бюджете суммы311,94 тыс. рублей составила заработная плата (финансирование на уровне 2014 года), 100,36 тыс. рублей отчисления в фонды социального страхования (финанс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рование больше чем в 2014 году на сумму кредиторской задолженности по данной статье образовавшейся в 2014 году), 1,0 тыс. рублей на оплату работ, услуг для обеспечения деятельности  контрольно-счетного органа.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отчетном году проводилась плановая проверка контрольно-счетной палаты по использования бюджетных средств ревизором комитета по фина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сам налоговой и бюджетной политики администрации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Фактов незаконного использования бюджетных средств данной пр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веркой не установлено. Выявлены незначительные нарушения при оформл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нии и хранении финансовых документов, а так же установлено неэффекти</w:t>
      </w:r>
      <w:r w:rsidRPr="005A48A3">
        <w:rPr>
          <w:sz w:val="28"/>
          <w:szCs w:val="28"/>
          <w:lang w:val="ru-RU"/>
        </w:rPr>
        <w:t>в</w:t>
      </w:r>
      <w:r w:rsidRPr="005A48A3">
        <w:rPr>
          <w:sz w:val="28"/>
          <w:szCs w:val="28"/>
          <w:lang w:val="ru-RU"/>
        </w:rPr>
        <w:t>ное использование  бюджетных средств в сумме 200 рублей (штраф за н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своевременное предоставление отчетности Федеральную налоговую службу).</w:t>
      </w:r>
    </w:p>
    <w:p w:rsidR="000939B7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Так же в 2015 году осуществлена передача в архив документов 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 xml:space="preserve">трольно-счетной палаты с момента ее образования по 2012 год.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отчетном году мной  пройд</w:t>
      </w:r>
      <w:r>
        <w:rPr>
          <w:sz w:val="28"/>
          <w:szCs w:val="28"/>
          <w:lang w:val="ru-RU"/>
        </w:rPr>
        <w:t>ена аттестация муниципальных слу</w:t>
      </w:r>
      <w:r w:rsidRPr="005A48A3">
        <w:rPr>
          <w:sz w:val="28"/>
          <w:szCs w:val="28"/>
          <w:lang w:val="ru-RU"/>
        </w:rPr>
        <w:t>ж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щих перед аттестационной комиссией районного Собрания депутатов, по р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зультатам данной аттестации дана положительная оценка моей деятельности  как аудитора.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Так же в 2015 году был избран секретарем конкурсной  комиссии  по отбору кандидатов для назначения на должность главы  администрации м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>ниципального образования Калманский район Алтайского края. При испо</w:t>
      </w:r>
      <w:r w:rsidRPr="005A48A3">
        <w:rPr>
          <w:sz w:val="28"/>
          <w:szCs w:val="28"/>
          <w:lang w:val="ru-RU"/>
        </w:rPr>
        <w:t>л</w:t>
      </w:r>
      <w:r w:rsidRPr="005A48A3">
        <w:rPr>
          <w:sz w:val="28"/>
          <w:szCs w:val="28"/>
          <w:lang w:val="ru-RU"/>
        </w:rPr>
        <w:t>нении возложенных функций получил положительную оценку своей де</w:t>
      </w:r>
      <w:r w:rsidRPr="005A48A3">
        <w:rPr>
          <w:sz w:val="28"/>
          <w:szCs w:val="28"/>
          <w:lang w:val="ru-RU"/>
        </w:rPr>
        <w:t>я</w:t>
      </w:r>
      <w:r w:rsidRPr="005A48A3">
        <w:rPr>
          <w:sz w:val="28"/>
          <w:szCs w:val="28"/>
          <w:lang w:val="ru-RU"/>
        </w:rPr>
        <w:t xml:space="preserve">тельности от руководства комиссии. 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2. Основные результаты деятельности</w:t>
      </w: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контрольно-счетной палаты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отчетном периоде деятельность контрольно-счетной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палаты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была направлена на организацию и осуществление внешнего финансового контр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ля,  за исполнением районного бюджета,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бюджетов муниципальных образ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ваний входящих в состав  района, за соблюдением установленного порядка и эффективностью управления и распоряжения муниципальной собственн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стью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Общий объем проверенных средств с учетом внешних проверок отч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тов об исполнении районного бюджета и бюджетов поселений района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сост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вил 217867,51 тыс. рублей что на 15777,6 тыс. рублей меньше чем в 2014 г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ду  (233645,16 тыс.рублей).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Общий объем выявленных нарушений в использовании средств бю</w:t>
      </w:r>
      <w:r w:rsidRPr="005A48A3">
        <w:rPr>
          <w:sz w:val="28"/>
          <w:szCs w:val="28"/>
          <w:lang w:val="ru-RU"/>
        </w:rPr>
        <w:t>д</w:t>
      </w:r>
      <w:r w:rsidRPr="005A48A3">
        <w:rPr>
          <w:sz w:val="28"/>
          <w:szCs w:val="28"/>
          <w:lang w:val="ru-RU"/>
        </w:rPr>
        <w:t>жетов всех уровней составил 630,9 тыс. рублей что  на 23 тыс. рублей больше чем в 2014 году (607,93 тыс. рублей). Нецелевое использование средств не выявлено,  все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нарушения классифицированы как неэффективное расходов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 xml:space="preserve">ние средств.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По результатам проведенных контрольных мероприятий контрольно-счетной палатой в администрации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сельсоветов  были направлены  рекоме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дации для принятия мер по устранению выявленных нарушений.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 xml:space="preserve">В основном нарушения устранялись оперативно.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3.Контрольно-ревизионная деятельность</w:t>
      </w: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контрольно-счетной палаты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2015 году в рамках контрольных мероприятий проведены: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1) проверка исполнения бюджета в муниципальном образовании О</w:t>
      </w:r>
      <w:r w:rsidRPr="005A48A3">
        <w:rPr>
          <w:sz w:val="28"/>
          <w:szCs w:val="28"/>
          <w:lang w:val="ru-RU"/>
        </w:rPr>
        <w:t>б</w:t>
      </w:r>
      <w:r w:rsidRPr="005A48A3">
        <w:rPr>
          <w:sz w:val="28"/>
          <w:szCs w:val="28"/>
          <w:lang w:val="ru-RU"/>
        </w:rPr>
        <w:t xml:space="preserve">ской сельсовет за период 2011-2013 годов;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2) проверка исполнения бюджета в муниципальном образовании Шадринский сельсовет за период 2011-2013 годов;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3) проверка финансово-хозяйственной деятельности МУП «Калма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ские тепловые сети» учредителем которого является  Калманский сельсовет. Данная проверка включена в план работы контрольно-счетной палаты по инициативе администрации Калманского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ходе контрольных мероприятий были выявлены следующие нар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 xml:space="preserve">шения:  </w:t>
      </w:r>
    </w:p>
    <w:p w:rsidR="000939B7" w:rsidRPr="005A48A3" w:rsidRDefault="000939B7" w:rsidP="005A48A3">
      <w:pPr>
        <w:pStyle w:val="ListParagraph"/>
        <w:numPr>
          <w:ilvl w:val="0"/>
          <w:numId w:val="31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Обской сельсовет: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-несмотря на рекомендации контрольно-счетной палаты не актуальное  «Положение «О бюджетном устройстве, бюджетном процессе и финансовом  контроле в  муниципальном образовании Обской сельсовет»;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не соблюдено Положение Центрального Банка Российской Федер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 xml:space="preserve">ции  N 373-П от 12 октября </w:t>
      </w:r>
      <w:smartTag w:uri="urn:schemas-microsoft-com:office:smarttags" w:element="metricconverter">
        <w:smartTagPr>
          <w:attr w:name="ProductID" w:val="2011 г"/>
        </w:smartTagPr>
        <w:r w:rsidRPr="005A48A3">
          <w:rPr>
            <w:sz w:val="28"/>
            <w:szCs w:val="28"/>
            <w:lang w:val="ru-RU"/>
          </w:rPr>
          <w:t>2011 г</w:t>
        </w:r>
      </w:smartTag>
      <w:r w:rsidRPr="005A48A3">
        <w:rPr>
          <w:sz w:val="28"/>
          <w:szCs w:val="28"/>
          <w:lang w:val="ru-RU"/>
        </w:rPr>
        <w:t xml:space="preserve"> «О порядке ведения кассовых операций с банкнотами и монетой Банка России на территории Российской Федерации»,  нарушения связанны с ведением кассовых операций (ведение кассовых книг, выдача наличных денежных средств в подотчет на хозяйственные нужды;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нарушения при проведении инвентаризаций имущества муниц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пального образования;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не эффективное использование муниципального имущества, низкая собираемость арендной платы для наполнения собственной доходной базы;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публичные слушания по вопросу исполнения бюджета муниципал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>ного образования не проводились.</w:t>
      </w:r>
    </w:p>
    <w:p w:rsidR="000939B7" w:rsidRPr="005A48A3" w:rsidRDefault="000939B7" w:rsidP="005A48A3">
      <w:pPr>
        <w:pStyle w:val="ListParagraph"/>
        <w:numPr>
          <w:ilvl w:val="0"/>
          <w:numId w:val="31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Шадринский сельсовет: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 не соблюдено Положение Центрального Банка Российской Федер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ции  N 373-П от 12 октября 2011 г «О порядке ведения кассовых операций с банкнотами и монетой Банка России на территории Российской Федерации»,  нарушения связанны с ведением кассовых операций (ведение кассовых книг, выдача наличных денежных средств в подотчет на хозяйственные нужды;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нарушения при проведении инвентаризаций имущества муниц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пального образования;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не эффективное использование муниципального имущества, низкая собираемость арендной платы для наполнения собственной доходной базы;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3) МУП «Калманские тепловые сети»: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учредителем не был своевременно сформирован уставный фонд предприятия, имущество предприятия  находится в муниципальной собс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венности МО Калманский сельсовет, принадлежит предприятию на праве х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зяйственного ведения или аренды, является неделимым и не может быть ра</w:t>
      </w:r>
      <w:r w:rsidRPr="005A48A3">
        <w:rPr>
          <w:sz w:val="28"/>
          <w:szCs w:val="28"/>
          <w:lang w:val="ru-RU"/>
        </w:rPr>
        <w:t>с</w:t>
      </w:r>
      <w:r w:rsidRPr="005A48A3">
        <w:rPr>
          <w:sz w:val="28"/>
          <w:szCs w:val="28"/>
          <w:lang w:val="ru-RU"/>
        </w:rPr>
        <w:t>пределено по вкладам (долям, паям) в том числе  между работниками пре</w:t>
      </w:r>
      <w:r w:rsidRPr="005A48A3">
        <w:rPr>
          <w:sz w:val="28"/>
          <w:szCs w:val="28"/>
          <w:lang w:val="ru-RU"/>
        </w:rPr>
        <w:t>д</w:t>
      </w:r>
      <w:r w:rsidRPr="005A48A3">
        <w:rPr>
          <w:sz w:val="28"/>
          <w:szCs w:val="28"/>
          <w:lang w:val="ru-RU"/>
        </w:rPr>
        <w:t>приятия.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Обоснованных тарифов утвержденных Управлением Алтайского края по государственному регулированию цен и тарифов  МУП «Калманские тепловые сети» не имеет с момента регистрации и по сей день. В проверя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мом периоде использовались (продолжают использоваться в настоящее вр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мя) тарифы установленные решением Управления Алтайского края по гос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>дарственному регулированию цен и тарифов (далее - Управление) №391 от 13.12.2013 года  «Об установлении тарифов на тепловую энергию, поста</w:t>
      </w:r>
      <w:r w:rsidRPr="005A48A3">
        <w:rPr>
          <w:sz w:val="28"/>
          <w:szCs w:val="28"/>
          <w:lang w:val="ru-RU"/>
        </w:rPr>
        <w:t>в</w:t>
      </w:r>
      <w:r w:rsidRPr="005A48A3">
        <w:rPr>
          <w:sz w:val="28"/>
          <w:szCs w:val="28"/>
          <w:lang w:val="ru-RU"/>
        </w:rPr>
        <w:t>ляемую муниципальным унитарным предприятием «Калманское коммунал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>ное хозяйство» Калманского района Алтайского края потребителям Калма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ского района Алтайского края на 2014 год. Данное решение так же утратило свою законную силу, в связи с окончанием срока действия.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В соответствии с п.2.2  трудового договора б/н с руководителем МУП «Калманские тепловые сети» от 01.04.2014 года Денисовым А.С. в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просы оплаты труда и составления штатного расписания входят в его комп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тенцию и являются зоной его ответственности.  В процессе деятельности предприятия, в вопросах оплаты труда, А.С.Денисовым нарушен  п.2.20 ук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занного выше договора, и неоднократно  приняты решения, которые привели к неплатежеспособности предприятия.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нарушение ст.115 Трудового кодекса Российской Федерации дире</w:t>
      </w:r>
      <w:r w:rsidRPr="005A48A3">
        <w:rPr>
          <w:sz w:val="28"/>
          <w:szCs w:val="28"/>
          <w:lang w:val="ru-RU"/>
        </w:rPr>
        <w:t>к</w:t>
      </w:r>
      <w:r w:rsidRPr="005A48A3">
        <w:rPr>
          <w:sz w:val="28"/>
          <w:szCs w:val="28"/>
          <w:lang w:val="ru-RU"/>
        </w:rPr>
        <w:t>тору МУП установлен оплачиваемый отпуск 42 календарных дня. Согласно Трудового кодекса оплачиваемый отпуск составляет 28 календарных дней. Согласно ст.116 сотрудникам с ненормированным рабочим днем устанавл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вается дополнительный отпуск в количестве 3 календарных дней, ст.117 р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ботнику занятому на работах с вредными и (или) опасными условиями труда устанавливается дополнительный отпуск 7 календарных дней (при этом р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бочее место,  должно быть, по результатам специальной оценки условий тр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>да отнесено к вредным условиям труда). Рабочее место директора МУПа т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ковой оценке не подвергалось, и права на дополнительный отпуск, сотрудник  занимающий данную должность не имеет.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Первичное списание твердого топлива производится на предприятии по актам списания. В акте указан поставщик топлива, единицы измерения, количество, общая сумма, дата акта, подписи членов комиссии (главный бу</w:t>
      </w:r>
      <w:r w:rsidRPr="005A48A3">
        <w:rPr>
          <w:sz w:val="28"/>
          <w:szCs w:val="28"/>
          <w:lang w:val="ru-RU"/>
        </w:rPr>
        <w:t>х</w:t>
      </w:r>
      <w:r w:rsidRPr="005A48A3">
        <w:rPr>
          <w:sz w:val="28"/>
          <w:szCs w:val="28"/>
          <w:lang w:val="ru-RU"/>
        </w:rPr>
        <w:t>галтер предприятия, контролер, кочегар, слесарь).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Такая форма акта на списание не способна отразить реальное расх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дование топлива для котельных, так как в разрезе котельных они не соста</w:t>
      </w:r>
      <w:r w:rsidRPr="005A48A3">
        <w:rPr>
          <w:sz w:val="28"/>
          <w:szCs w:val="28"/>
          <w:lang w:val="ru-RU"/>
        </w:rPr>
        <w:t>в</w:t>
      </w:r>
      <w:r w:rsidRPr="005A48A3">
        <w:rPr>
          <w:sz w:val="28"/>
          <w:szCs w:val="28"/>
          <w:lang w:val="ru-RU"/>
        </w:rPr>
        <w:t>ляются. Нормы расхода топлива по котлам, не утверждены нормативным а</w:t>
      </w:r>
      <w:r w:rsidRPr="005A48A3">
        <w:rPr>
          <w:sz w:val="28"/>
          <w:szCs w:val="28"/>
          <w:lang w:val="ru-RU"/>
        </w:rPr>
        <w:t>к</w:t>
      </w:r>
      <w:r w:rsidRPr="005A48A3">
        <w:rPr>
          <w:sz w:val="28"/>
          <w:szCs w:val="28"/>
          <w:lang w:val="ru-RU"/>
        </w:rPr>
        <w:t>том на предприятии. Так же в акте на списание топлива не отражено колич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ство отработанных часов в разрезе котлов, что не позволяет достоверно вести учет расходования угля. Часы проработанные котлами не указываются.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Из выше сказанного можно сделать вывод, что акты составлены исх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дя из информации о поступившем топливе, его же в конце месяца и спис</w:t>
      </w:r>
      <w:r w:rsidRPr="005A48A3">
        <w:rPr>
          <w:sz w:val="28"/>
          <w:szCs w:val="28"/>
          <w:lang w:val="ru-RU"/>
        </w:rPr>
        <w:t>ы</w:t>
      </w:r>
      <w:r w:rsidRPr="005A48A3">
        <w:rPr>
          <w:sz w:val="28"/>
          <w:szCs w:val="28"/>
          <w:lang w:val="ru-RU"/>
        </w:rPr>
        <w:t>вают, то есть документ формален и не отражает действительность, что ведет к недостаткам в бухгалтерском учете, то есть нарушаются ст.9, 13 Федерал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>ного закона Российской Федерации от 06 декабря 2011 года N 402-ФЗ «О бухгалтерском учете».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Расходы предприятия на твердое топливо выше тарифных на 47,3% в натуральном и 55,4% денежном выражении. Одна из причин сложившейся ситуации недоработки администрации предприятия, при первичном учете поступления и списания топлива, ведущие к нарушению законодательства Российской Федерации в бухгалтерском учете и отчетности.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Объем выручки полученная предприятием за проверяемый период на 3,1% выше валовой выручки заложенной в используемом тарифе. Это позв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лило бы, при приведении затрат предприятия в соответствие тарифу, стаб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 xml:space="preserve">лизировать экономическую ситуацию на предприятии. 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соответствии с пунктами 1.9, 5.8  Устава МУП администрация  Калманского сельсовета (как учредитель и собственник имущества) обязана осуществлять контроль за деятельностью предприятия. Предприятие же в свою очередь по окончанию отчетного периода должно  представлять бу</w:t>
      </w:r>
      <w:r w:rsidRPr="005A48A3">
        <w:rPr>
          <w:sz w:val="28"/>
          <w:szCs w:val="28"/>
          <w:lang w:val="ru-RU"/>
        </w:rPr>
        <w:t>х</w:t>
      </w:r>
      <w:r w:rsidRPr="005A48A3">
        <w:rPr>
          <w:sz w:val="28"/>
          <w:szCs w:val="28"/>
          <w:lang w:val="ru-RU"/>
        </w:rPr>
        <w:t>галтерскую отчетность и  иные документы. В настоящее время данные пун</w:t>
      </w:r>
      <w:r w:rsidRPr="005A48A3">
        <w:rPr>
          <w:sz w:val="28"/>
          <w:szCs w:val="28"/>
          <w:lang w:val="ru-RU"/>
        </w:rPr>
        <w:t>к</w:t>
      </w:r>
      <w:r w:rsidRPr="005A48A3">
        <w:rPr>
          <w:sz w:val="28"/>
          <w:szCs w:val="28"/>
          <w:lang w:val="ru-RU"/>
        </w:rPr>
        <w:t>ты  Устава исполняется сторонами формально.</w:t>
      </w:r>
    </w:p>
    <w:p w:rsidR="000939B7" w:rsidRPr="005A48A3" w:rsidRDefault="000939B7" w:rsidP="005A48A3">
      <w:pPr>
        <w:pStyle w:val="ListParagraph"/>
        <w:ind w:left="0" w:right="-1" w:firstLine="851"/>
        <w:jc w:val="both"/>
        <w:outlineLvl w:val="0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4. Экспертно-аналитическая деятельность</w:t>
      </w:r>
    </w:p>
    <w:p w:rsidR="000939B7" w:rsidRPr="005A48A3" w:rsidRDefault="000939B7" w:rsidP="005A48A3">
      <w:pPr>
        <w:ind w:right="-1" w:firstLine="851"/>
        <w:jc w:val="center"/>
        <w:outlineLvl w:val="0"/>
        <w:rPr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контрольно-счетной палаты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Замечания и предложения контрольно-счетной палаты были учтены в 32-х нормативно-правовых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актах органов местного самоуправления, каса</w:t>
      </w:r>
      <w:r w:rsidRPr="005A48A3">
        <w:rPr>
          <w:sz w:val="28"/>
          <w:szCs w:val="28"/>
          <w:lang w:val="ru-RU"/>
        </w:rPr>
        <w:t>ю</w:t>
      </w:r>
      <w:r w:rsidRPr="005A48A3">
        <w:rPr>
          <w:sz w:val="28"/>
          <w:szCs w:val="28"/>
          <w:lang w:val="ru-RU"/>
        </w:rPr>
        <w:t>щихся организации бюджетного процесса, формирования районного и мес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ных бюджетов, использования бюджетных средств, муниципальной собс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венности.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апреле–мае 2015 года проведена работа, по внешней проверке и</w:t>
      </w:r>
      <w:r w:rsidRPr="005A48A3">
        <w:rPr>
          <w:sz w:val="28"/>
          <w:szCs w:val="28"/>
          <w:lang w:val="ru-RU"/>
        </w:rPr>
        <w:t>с</w:t>
      </w:r>
      <w:r w:rsidRPr="005A48A3">
        <w:rPr>
          <w:sz w:val="28"/>
          <w:szCs w:val="28"/>
          <w:lang w:val="ru-RU"/>
        </w:rPr>
        <w:t xml:space="preserve">полнения бюджета района за 2014 год и 10-ти бюджетов сельских поселений. Подготовлено одиннадцать заключений для районного Собрания депутатов и Советов депутатов сельсоветов.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Осуществлен необходимый комплекс экспертно-аналитических мер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приятий для подготовки заключений на проекты нормативных правовых а</w:t>
      </w:r>
      <w:r w:rsidRPr="005A48A3">
        <w:rPr>
          <w:sz w:val="28"/>
          <w:szCs w:val="28"/>
          <w:lang w:val="ru-RU"/>
        </w:rPr>
        <w:t>к</w:t>
      </w:r>
      <w:r w:rsidRPr="005A48A3">
        <w:rPr>
          <w:sz w:val="28"/>
          <w:szCs w:val="28"/>
          <w:lang w:val="ru-RU"/>
        </w:rPr>
        <w:t>тов районного Собрания депутатов  по вопросам внесения изменений и д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полнений в решение №50 от 24.12.2014 года «Об утверждении  бюджета м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>ниципального образования Калманский район на 2015 год и плановый пер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од 2016-2017 годов» (всего семь заключений). При этом аудитором были внесены предложения, которые учтены депутатами при  рассмотрении да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ных вопросов на сессиях.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течении года проводился анализ текущего исполнения  районного бюджета. Осуществлялась подготовка  экспертных заключений  на постано</w:t>
      </w:r>
      <w:r w:rsidRPr="005A48A3">
        <w:rPr>
          <w:sz w:val="28"/>
          <w:szCs w:val="28"/>
          <w:lang w:val="ru-RU"/>
        </w:rPr>
        <w:t>в</w:t>
      </w:r>
      <w:r w:rsidRPr="005A48A3">
        <w:rPr>
          <w:sz w:val="28"/>
          <w:szCs w:val="28"/>
          <w:lang w:val="ru-RU"/>
        </w:rPr>
        <w:t>ления администрации Калманского района: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№150 от 17.04.2015 года «Об исполнении бюджета муниципального образования Калманский район за первый квартал 2015 года»;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№314 от 21.07.2014 года «Об исполнении бюджета муниципального образования Калманский район за первое полугодие 2015 года»;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- №561 от 28.10.2015 года «Об исполнении бюджета муниципального образования Калманский район за девять месяцев 2015года ».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ходе экспертно-аналитической деятельности контрольно-счетной палатой проводился анализ соответствия законопроектов действующему з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конодательству, нормативной и методической базы,  экономических и ф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нансовых обоснований.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рамках предварительного контроля, в соответствии с Бюджетным кодексом Российской Федерации, Уставом района, Положением «О 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трольно-счетной палате района», Положением  «О бюджетном устройстве, бюджетном процессе и финансовом контроле в муниципальном образовании Калманский район», была  проведена экспертиза проекта</w:t>
      </w:r>
      <w:r>
        <w:rPr>
          <w:sz w:val="28"/>
          <w:szCs w:val="28"/>
          <w:lang w:val="ru-RU"/>
        </w:rPr>
        <w:t xml:space="preserve"> </w:t>
      </w:r>
      <w:r w:rsidRPr="005A48A3">
        <w:rPr>
          <w:sz w:val="28"/>
          <w:szCs w:val="28"/>
          <w:lang w:val="ru-RU"/>
        </w:rPr>
        <w:t>решения районного Собрания депутатов «Об утверждении бюджета муниципального образов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ния Калманский район на 2016 год»,  Советов депутатов сельсоветов о бю</w:t>
      </w:r>
      <w:r w:rsidRPr="005A48A3">
        <w:rPr>
          <w:sz w:val="28"/>
          <w:szCs w:val="28"/>
          <w:lang w:val="ru-RU"/>
        </w:rPr>
        <w:t>д</w:t>
      </w:r>
      <w:r w:rsidRPr="005A48A3">
        <w:rPr>
          <w:sz w:val="28"/>
          <w:szCs w:val="28"/>
          <w:lang w:val="ru-RU"/>
        </w:rPr>
        <w:t>жетах муниципальных образований входящих в состав Калманского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Данная работа в 2015 году осложнялась нестабильной экономической ситуацией, постоянными изменениями налогового и бюджетного законод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тельства как в Российской федерации так и на уровне ее субъектов. По этим причинам бюджет рассматривался только на 2016 год без планового периода.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процессе экспертно-аналитического исследования проектов реш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ний проанализированы основные характеристики бюджетов, распределение расходов по разделам классификации расходов бюджетной системы, текст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вые части решений, состояние нормативной методической базы их формир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вания, соответствие требованиям Бюджетного кодекса Российской Федер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ции, федеральному, краевому законодательству, муниципальным нормати</w:t>
      </w:r>
      <w:r w:rsidRPr="005A48A3">
        <w:rPr>
          <w:sz w:val="28"/>
          <w:szCs w:val="28"/>
          <w:lang w:val="ru-RU"/>
        </w:rPr>
        <w:t>в</w:t>
      </w:r>
      <w:r w:rsidRPr="005A48A3">
        <w:rPr>
          <w:sz w:val="28"/>
          <w:szCs w:val="28"/>
          <w:lang w:val="ru-RU"/>
        </w:rPr>
        <w:t xml:space="preserve">ным правовым актам.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 xml:space="preserve"> При подготовке заключения контрольно-счетной палаты на проект решения районного Собрания депутатов «Об утверждении бюджета муниц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пального образования Калманский район на 2016 год» использовались р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зультаты проверок проведенных в отделах администрации Калманского ра</w:t>
      </w:r>
      <w:r w:rsidRPr="005A48A3">
        <w:rPr>
          <w:sz w:val="28"/>
          <w:szCs w:val="28"/>
          <w:lang w:val="ru-RU"/>
        </w:rPr>
        <w:t>й</w:t>
      </w:r>
      <w:r w:rsidRPr="005A48A3">
        <w:rPr>
          <w:sz w:val="28"/>
          <w:szCs w:val="28"/>
          <w:lang w:val="ru-RU"/>
        </w:rPr>
        <w:t>она, являющихся главными распорядителями средств районного бюджета, контрольных и экспертно-аналитических мероприятий по анализу обосн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ванности показателей районного бюджета и состоянию нормативно-методической базы его формирования. Проанализированы показатели пр</w:t>
      </w:r>
      <w:r w:rsidRPr="005A48A3">
        <w:rPr>
          <w:sz w:val="28"/>
          <w:szCs w:val="28"/>
          <w:lang w:val="ru-RU"/>
        </w:rPr>
        <w:t>о</w:t>
      </w:r>
      <w:r w:rsidRPr="005A48A3">
        <w:rPr>
          <w:sz w:val="28"/>
          <w:szCs w:val="28"/>
          <w:lang w:val="ru-RU"/>
        </w:rPr>
        <w:t>гноза социально-экономического развития Калманского района на трехле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ний период, проведена экспертиза проекта основных направлений бюдже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ной и налоговой политики, долговой политики, проекта программы внутре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них заимствований Калманского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Анализ показателей проекта решения районного Собрания депутатов  «Об утверждении бюджета муниципального образования Калманский район на 2016 год» показал, что документ  направлен на решение важнейших задач, связанных с обеспечением бюджетной устойчивости, повышением уровня жизни граждан, модернизацией бюджетной сферы и экономики, несмотря на необходимость сокращения расходов по определенным статьям. Это один из самых сбалансированных бюджетов последних лет, несмотря на сложную экономическую ситуацию.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5. Информационная и иная деятельность</w:t>
      </w: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контрольно-счетной палаты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соответствии с Положением «О контрольно-счетной палате района» депутатам районного Собрания депутатов был представлен отчет о деятел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>ности контрольно-счетной палаты в 2014 году, который был опубликован в газете «Заря Приобья».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2015 году на официальном интернет-сайте  администрации Калма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ского района, в разделе «Районное Собрание  депутатов»продолжила свою работу страница освещающая деятельность контрольно-счетной палаты. Там размещена информация об итогах проверок в 2015 году, нормативно-правовые акты регулирующие деятельность контрольно-счетной палаты, план работ на 2016 год.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Продолжается работа аудитора контрольно-счетной палаты  с Совет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ми депутатов сельсоветов, входящих в состав Калманского района на безво</w:t>
      </w:r>
      <w:r w:rsidRPr="005A48A3">
        <w:rPr>
          <w:sz w:val="28"/>
          <w:szCs w:val="28"/>
          <w:lang w:val="ru-RU"/>
        </w:rPr>
        <w:t>з</w:t>
      </w:r>
      <w:r w:rsidRPr="005A48A3">
        <w:rPr>
          <w:sz w:val="28"/>
          <w:szCs w:val="28"/>
          <w:lang w:val="ru-RU"/>
        </w:rPr>
        <w:t>мездной основе. Совместно разработаны и утверждены, платны работы на  2016 год, это позволяет осуществлять финансовый контроль в муниципал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 xml:space="preserve">ных образованиях района, не возлагая дополнительной финансовой нагрузки на администрации сельсоветов.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Продолжается работа аудитора контрольно-счетной палаты Калма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ского района в Совете контрольно-счетных органов Алтайского края. В теч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нии отчетного года продолжается изучение и применение в работе методич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ские указания разработанных Счетной палатой Алтайского края для КСО.В 2015 году Советом  было проведено  заседание с приглашением всех членов. Это большой положительный момент в работе совета, так как  живое общ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ние с коллегами, как ничто другое  дополняет изучение нормативных док</w:t>
      </w:r>
      <w:r w:rsidRPr="005A48A3">
        <w:rPr>
          <w:sz w:val="28"/>
          <w:szCs w:val="28"/>
          <w:lang w:val="ru-RU"/>
        </w:rPr>
        <w:t>у</w:t>
      </w:r>
      <w:r w:rsidRPr="005A48A3">
        <w:rPr>
          <w:sz w:val="28"/>
          <w:szCs w:val="28"/>
          <w:lang w:val="ru-RU"/>
        </w:rPr>
        <w:t>ментов, и приводит к улучшению показателей в работе КСО.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</w:p>
    <w:p w:rsidR="000939B7" w:rsidRPr="005A48A3" w:rsidRDefault="000939B7" w:rsidP="005A48A3">
      <w:pPr>
        <w:ind w:right="-1" w:firstLine="851"/>
        <w:jc w:val="center"/>
        <w:outlineLvl w:val="0"/>
        <w:rPr>
          <w:b/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6.Заключительные положения</w:t>
      </w:r>
    </w:p>
    <w:p w:rsidR="000939B7" w:rsidRPr="005A48A3" w:rsidRDefault="000939B7" w:rsidP="005A48A3">
      <w:pPr>
        <w:ind w:right="-1" w:firstLine="851"/>
        <w:jc w:val="center"/>
        <w:outlineLvl w:val="0"/>
        <w:rPr>
          <w:sz w:val="28"/>
          <w:szCs w:val="28"/>
          <w:lang w:val="ru-RU"/>
        </w:rPr>
      </w:pPr>
      <w:r w:rsidRPr="005A48A3">
        <w:rPr>
          <w:b/>
          <w:sz w:val="28"/>
          <w:szCs w:val="28"/>
          <w:lang w:val="ru-RU"/>
        </w:rPr>
        <w:t>и основные задачи на перспективу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Вся деятельность контрольно-счетного органа в 2015 году была н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правлена на защиту государственных интересов в области бюджета, фина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сов, хозяйственно-экономических и имущественных отношений. Провод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лись контрольные мероприятия по соблюдению бюджетного законодательс</w:t>
      </w:r>
      <w:r w:rsidRPr="005A48A3">
        <w:rPr>
          <w:sz w:val="28"/>
          <w:szCs w:val="28"/>
          <w:lang w:val="ru-RU"/>
        </w:rPr>
        <w:t>т</w:t>
      </w:r>
      <w:r w:rsidRPr="005A48A3">
        <w:rPr>
          <w:sz w:val="28"/>
          <w:szCs w:val="28"/>
          <w:lang w:val="ru-RU"/>
        </w:rPr>
        <w:t>ва при исполнении районного и местных бюджетов с целью подготовки предложений по повышению качества управления  муниципальными фина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сами.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Приоритетными направлениями деятельности контрольно-счетной палаты в плане на 2016 год предусмотрено осуществление комплекса ко</w:t>
      </w:r>
      <w:r w:rsidRPr="005A48A3">
        <w:rPr>
          <w:sz w:val="28"/>
          <w:szCs w:val="28"/>
          <w:lang w:val="ru-RU"/>
        </w:rPr>
        <w:t>н</w:t>
      </w:r>
      <w:r w:rsidRPr="005A48A3">
        <w:rPr>
          <w:sz w:val="28"/>
          <w:szCs w:val="28"/>
          <w:lang w:val="ru-RU"/>
        </w:rPr>
        <w:t>трольных, экспертно-аналитических мероприятий, обеспечивающих реализ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цию задач и функций, возложенных на контрольно-счетную палату Полож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нием «О контрольно-счетной палате района».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Планом работы предусмотрены проверки эффективности и результ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тивности использования финансовых и материальных ресурсов Калманского  района, в рамках реализации которых запланировано проведение проверок местных бюджетов, контроль достижения поставленных целей при реализ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 xml:space="preserve">ции программных мероприятий. 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В числе главных задач в 2016 году будут обеспечение и дальнейшее развитие единой системы предварительного, оперативного и последующего контроля за формированием и исполнением районного бюджета, и бюджетов муниципальных образований входящих в состав района.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С учетом целей, задач и приоритетных направлений социально-экономического развития района на ближайшую перспективу контрольно-счетная палата в 2016 году сосредоточит усилия на:</w:t>
      </w:r>
    </w:p>
    <w:p w:rsidR="000939B7" w:rsidRPr="005A48A3" w:rsidRDefault="000939B7" w:rsidP="005A48A3">
      <w:pPr>
        <w:pStyle w:val="ListParagraph"/>
        <w:numPr>
          <w:ilvl w:val="0"/>
          <w:numId w:val="32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контрольно-аналитических мероприятиях, направленных на в</w:t>
      </w:r>
      <w:r w:rsidRPr="005A48A3">
        <w:rPr>
          <w:sz w:val="28"/>
          <w:szCs w:val="28"/>
          <w:lang w:val="ru-RU"/>
        </w:rPr>
        <w:t>ы</w:t>
      </w:r>
      <w:r w:rsidRPr="005A48A3">
        <w:rPr>
          <w:sz w:val="28"/>
          <w:szCs w:val="28"/>
          <w:lang w:val="ru-RU"/>
        </w:rPr>
        <w:t>явление резервов пополнения доходной базы районного и местных бюдж</w:t>
      </w:r>
      <w:r w:rsidRPr="005A48A3">
        <w:rPr>
          <w:sz w:val="28"/>
          <w:szCs w:val="28"/>
          <w:lang w:val="ru-RU"/>
        </w:rPr>
        <w:t>е</w:t>
      </w:r>
      <w:r w:rsidRPr="005A48A3">
        <w:rPr>
          <w:sz w:val="28"/>
          <w:szCs w:val="28"/>
          <w:lang w:val="ru-RU"/>
        </w:rPr>
        <w:t>тов, в том числе за счет повышения эффективности использования муниц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 xml:space="preserve">пального имущества; </w:t>
      </w:r>
    </w:p>
    <w:p w:rsidR="000939B7" w:rsidRPr="005A48A3" w:rsidRDefault="000939B7" w:rsidP="005A48A3">
      <w:pPr>
        <w:pStyle w:val="ListParagraph"/>
        <w:numPr>
          <w:ilvl w:val="0"/>
          <w:numId w:val="32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анализе выполнения районных целевых программ;</w:t>
      </w:r>
    </w:p>
    <w:p w:rsidR="000939B7" w:rsidRPr="005A48A3" w:rsidRDefault="000939B7" w:rsidP="005A48A3">
      <w:pPr>
        <w:pStyle w:val="ListParagraph"/>
        <w:numPr>
          <w:ilvl w:val="0"/>
          <w:numId w:val="32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совершенствовании проведения контрольных мероприятий за деятельностью бюджетных учреждений в условиях расширения их самосто</w:t>
      </w:r>
      <w:r w:rsidRPr="005A48A3">
        <w:rPr>
          <w:sz w:val="28"/>
          <w:szCs w:val="28"/>
          <w:lang w:val="ru-RU"/>
        </w:rPr>
        <w:t>я</w:t>
      </w:r>
      <w:r w:rsidRPr="005A48A3">
        <w:rPr>
          <w:sz w:val="28"/>
          <w:szCs w:val="28"/>
          <w:lang w:val="ru-RU"/>
        </w:rPr>
        <w:t>тельности и изменения порядка финансового обеспечения, направленного на достижение результативности бюджетных средств.</w:t>
      </w:r>
    </w:p>
    <w:p w:rsidR="000939B7" w:rsidRPr="005A48A3" w:rsidRDefault="000939B7" w:rsidP="005A48A3">
      <w:pPr>
        <w:ind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Достижение намеченных целей неразрывно связано с повышением эффективности деятельности контрольно-счетной палаты за счет:</w:t>
      </w:r>
    </w:p>
    <w:p w:rsidR="000939B7" w:rsidRPr="005A48A3" w:rsidRDefault="000939B7" w:rsidP="005A48A3">
      <w:pPr>
        <w:pStyle w:val="ListParagraph"/>
        <w:numPr>
          <w:ilvl w:val="0"/>
          <w:numId w:val="33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совершенствования методологического, информационно-технологического обеспечения контрольной и экспертно-аналитической де</w:t>
      </w:r>
      <w:r w:rsidRPr="005A48A3">
        <w:rPr>
          <w:sz w:val="28"/>
          <w:szCs w:val="28"/>
          <w:lang w:val="ru-RU"/>
        </w:rPr>
        <w:t>я</w:t>
      </w:r>
      <w:r w:rsidRPr="005A48A3">
        <w:rPr>
          <w:sz w:val="28"/>
          <w:szCs w:val="28"/>
          <w:lang w:val="ru-RU"/>
        </w:rPr>
        <w:t>тельности контрольно-счетной палаты;</w:t>
      </w:r>
    </w:p>
    <w:p w:rsidR="000939B7" w:rsidRPr="005A48A3" w:rsidRDefault="000939B7" w:rsidP="005A48A3">
      <w:pPr>
        <w:pStyle w:val="ListParagraph"/>
        <w:numPr>
          <w:ilvl w:val="0"/>
          <w:numId w:val="33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повышения эффективности и качества контрольных и экспертно-аналитических мероприятий за счет применения новых методов контроля и анализа, в том числе внедрение аудита эффективности использования мун</w:t>
      </w:r>
      <w:r w:rsidRPr="005A48A3">
        <w:rPr>
          <w:sz w:val="28"/>
          <w:szCs w:val="28"/>
          <w:lang w:val="ru-RU"/>
        </w:rPr>
        <w:t>и</w:t>
      </w:r>
      <w:r w:rsidRPr="005A48A3">
        <w:rPr>
          <w:sz w:val="28"/>
          <w:szCs w:val="28"/>
          <w:lang w:val="ru-RU"/>
        </w:rPr>
        <w:t>ципальных ресурсов в различных направлениях;</w:t>
      </w:r>
    </w:p>
    <w:p w:rsidR="000939B7" w:rsidRPr="005A48A3" w:rsidRDefault="000939B7" w:rsidP="005A48A3">
      <w:pPr>
        <w:pStyle w:val="ListParagraph"/>
        <w:numPr>
          <w:ilvl w:val="0"/>
          <w:numId w:val="33"/>
        </w:numPr>
        <w:ind w:left="0" w:right="-1" w:firstLine="851"/>
        <w:jc w:val="both"/>
        <w:outlineLvl w:val="0"/>
        <w:rPr>
          <w:sz w:val="28"/>
          <w:szCs w:val="28"/>
          <w:lang w:val="ru-RU"/>
        </w:rPr>
      </w:pPr>
      <w:r w:rsidRPr="005A48A3">
        <w:rPr>
          <w:sz w:val="28"/>
          <w:szCs w:val="28"/>
          <w:lang w:val="ru-RU"/>
        </w:rPr>
        <w:t>повышения уровня и качества взаимодействия со Счетной пал</w:t>
      </w:r>
      <w:r w:rsidRPr="005A48A3">
        <w:rPr>
          <w:sz w:val="28"/>
          <w:szCs w:val="28"/>
          <w:lang w:val="ru-RU"/>
        </w:rPr>
        <w:t>а</w:t>
      </w:r>
      <w:r w:rsidRPr="005A48A3">
        <w:rPr>
          <w:sz w:val="28"/>
          <w:szCs w:val="28"/>
          <w:lang w:val="ru-RU"/>
        </w:rPr>
        <w:t>той Алтайского края, контрольно-счетными органами других муниципал</w:t>
      </w:r>
      <w:r w:rsidRPr="005A48A3">
        <w:rPr>
          <w:sz w:val="28"/>
          <w:szCs w:val="28"/>
          <w:lang w:val="ru-RU"/>
        </w:rPr>
        <w:t>ь</w:t>
      </w:r>
      <w:r w:rsidRPr="005A48A3">
        <w:rPr>
          <w:sz w:val="28"/>
          <w:szCs w:val="28"/>
          <w:lang w:val="ru-RU"/>
        </w:rPr>
        <w:t>ных образований, правоохранительными органами.</w:t>
      </w:r>
    </w:p>
    <w:bookmarkEnd w:id="0"/>
    <w:p w:rsidR="000939B7" w:rsidRDefault="000939B7" w:rsidP="00F2250F">
      <w:pPr>
        <w:ind w:right="-1" w:firstLine="1134"/>
        <w:jc w:val="both"/>
        <w:outlineLvl w:val="0"/>
        <w:rPr>
          <w:sz w:val="20"/>
          <w:szCs w:val="20"/>
          <w:lang w:val="ru-RU"/>
        </w:rPr>
      </w:pPr>
    </w:p>
    <w:p w:rsidR="000939B7" w:rsidRPr="00F2250F" w:rsidRDefault="000939B7" w:rsidP="00B365B2">
      <w:pPr>
        <w:ind w:right="-1"/>
        <w:jc w:val="both"/>
        <w:outlineLvl w:val="0"/>
        <w:rPr>
          <w:sz w:val="20"/>
          <w:szCs w:val="20"/>
          <w:lang w:val="ru-RU"/>
        </w:rPr>
      </w:pPr>
    </w:p>
    <w:sectPr w:rsidR="000939B7" w:rsidRPr="00F2250F" w:rsidSect="00B149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B7" w:rsidRDefault="000939B7" w:rsidP="00B149C7">
      <w:r>
        <w:separator/>
      </w:r>
    </w:p>
  </w:endnote>
  <w:endnote w:type="continuationSeparator" w:id="1">
    <w:p w:rsidR="000939B7" w:rsidRDefault="000939B7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B7" w:rsidRDefault="000939B7" w:rsidP="00B149C7">
      <w:r>
        <w:separator/>
      </w:r>
    </w:p>
  </w:footnote>
  <w:footnote w:type="continuationSeparator" w:id="1">
    <w:p w:rsidR="000939B7" w:rsidRDefault="000939B7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B7" w:rsidRPr="00A276DA" w:rsidRDefault="000939B7">
    <w:pPr>
      <w:pStyle w:val="Header"/>
      <w:jc w:val="right"/>
      <w:rPr>
        <w:sz w:val="16"/>
        <w:szCs w:val="16"/>
      </w:rPr>
    </w:pPr>
    <w:r w:rsidRPr="00A276DA">
      <w:rPr>
        <w:sz w:val="16"/>
        <w:szCs w:val="16"/>
      </w:rPr>
      <w:fldChar w:fldCharType="begin"/>
    </w:r>
    <w:r w:rsidRPr="00A276DA">
      <w:rPr>
        <w:sz w:val="16"/>
        <w:szCs w:val="16"/>
      </w:rPr>
      <w:instrText xml:space="preserve"> PAGE   \* MERGEFORMAT </w:instrText>
    </w:r>
    <w:r w:rsidRPr="00A276DA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276DA">
      <w:rPr>
        <w:sz w:val="16"/>
        <w:szCs w:val="16"/>
      </w:rPr>
      <w:fldChar w:fldCharType="end"/>
    </w:r>
  </w:p>
  <w:p w:rsidR="000939B7" w:rsidRDefault="000939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1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0"/>
  </w:num>
  <w:num w:numId="4">
    <w:abstractNumId w:val="6"/>
  </w:num>
  <w:num w:numId="5">
    <w:abstractNumId w:val="17"/>
  </w:num>
  <w:num w:numId="6">
    <w:abstractNumId w:val="24"/>
  </w:num>
  <w:num w:numId="7">
    <w:abstractNumId w:val="4"/>
  </w:num>
  <w:num w:numId="8">
    <w:abstractNumId w:val="21"/>
  </w:num>
  <w:num w:numId="9">
    <w:abstractNumId w:val="25"/>
  </w:num>
  <w:num w:numId="10">
    <w:abstractNumId w:val="28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29"/>
  </w:num>
  <w:num w:numId="16">
    <w:abstractNumId w:val="32"/>
  </w:num>
  <w:num w:numId="17">
    <w:abstractNumId w:val="9"/>
  </w:num>
  <w:num w:numId="18">
    <w:abstractNumId w:val="0"/>
  </w:num>
  <w:num w:numId="19">
    <w:abstractNumId w:val="16"/>
  </w:num>
  <w:num w:numId="20">
    <w:abstractNumId w:val="7"/>
  </w:num>
  <w:num w:numId="21">
    <w:abstractNumId w:val="23"/>
  </w:num>
  <w:num w:numId="22">
    <w:abstractNumId w:val="30"/>
  </w:num>
  <w:num w:numId="23">
    <w:abstractNumId w:val="26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19"/>
  </w:num>
  <w:num w:numId="30">
    <w:abstractNumId w:val="18"/>
  </w:num>
  <w:num w:numId="31">
    <w:abstractNumId w:val="12"/>
  </w:num>
  <w:num w:numId="32">
    <w:abstractNumId w:val="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0CB"/>
    <w:rsid w:val="00000AF8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5FC1"/>
    <w:rsid w:val="0008310D"/>
    <w:rsid w:val="0009108C"/>
    <w:rsid w:val="00092C13"/>
    <w:rsid w:val="000939B7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D3059"/>
    <w:rsid w:val="000E19D2"/>
    <w:rsid w:val="000E5528"/>
    <w:rsid w:val="000E7091"/>
    <w:rsid w:val="000F1AB9"/>
    <w:rsid w:val="000F317D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815B5"/>
    <w:rsid w:val="00184582"/>
    <w:rsid w:val="00184EFD"/>
    <w:rsid w:val="00194166"/>
    <w:rsid w:val="00195A08"/>
    <w:rsid w:val="001A69E9"/>
    <w:rsid w:val="001A6CD4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3787"/>
    <w:rsid w:val="002B425C"/>
    <w:rsid w:val="002B6857"/>
    <w:rsid w:val="002C29B7"/>
    <w:rsid w:val="002C3778"/>
    <w:rsid w:val="002D4A77"/>
    <w:rsid w:val="002E048F"/>
    <w:rsid w:val="002E45E5"/>
    <w:rsid w:val="0031367D"/>
    <w:rsid w:val="00313B1A"/>
    <w:rsid w:val="00317D97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71715"/>
    <w:rsid w:val="00474D42"/>
    <w:rsid w:val="00480879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4166"/>
    <w:rsid w:val="0059566C"/>
    <w:rsid w:val="005A48A3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D7891"/>
    <w:rsid w:val="005E3DA2"/>
    <w:rsid w:val="005F151C"/>
    <w:rsid w:val="00605BFE"/>
    <w:rsid w:val="00613847"/>
    <w:rsid w:val="00617734"/>
    <w:rsid w:val="00621784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3716"/>
    <w:rsid w:val="007B7603"/>
    <w:rsid w:val="007C0D3E"/>
    <w:rsid w:val="007C63D7"/>
    <w:rsid w:val="007C77C8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745D"/>
    <w:rsid w:val="00887AF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A552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20E4"/>
    <w:rsid w:val="009F71FC"/>
    <w:rsid w:val="009F7C53"/>
    <w:rsid w:val="00A01E8D"/>
    <w:rsid w:val="00A023A1"/>
    <w:rsid w:val="00A05526"/>
    <w:rsid w:val="00A05C85"/>
    <w:rsid w:val="00A1279E"/>
    <w:rsid w:val="00A14AA5"/>
    <w:rsid w:val="00A173B1"/>
    <w:rsid w:val="00A276DA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E09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6EC"/>
    <w:rsid w:val="00AC692D"/>
    <w:rsid w:val="00AD241B"/>
    <w:rsid w:val="00AD4F40"/>
    <w:rsid w:val="00AD590D"/>
    <w:rsid w:val="00AD6153"/>
    <w:rsid w:val="00AE1874"/>
    <w:rsid w:val="00AE30EA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65B2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2748"/>
    <w:rsid w:val="00C95E04"/>
    <w:rsid w:val="00CA6938"/>
    <w:rsid w:val="00CB05A3"/>
    <w:rsid w:val="00CB35AF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F0C69"/>
    <w:rsid w:val="00CF1194"/>
    <w:rsid w:val="00CF4404"/>
    <w:rsid w:val="00CF75C2"/>
    <w:rsid w:val="00CF7D86"/>
    <w:rsid w:val="00D0110E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442F"/>
    <w:rsid w:val="00E45521"/>
    <w:rsid w:val="00E47BE7"/>
    <w:rsid w:val="00E53E74"/>
    <w:rsid w:val="00E56749"/>
    <w:rsid w:val="00E61079"/>
    <w:rsid w:val="00E63A7B"/>
    <w:rsid w:val="00E664BA"/>
    <w:rsid w:val="00E66CE8"/>
    <w:rsid w:val="00E67BC7"/>
    <w:rsid w:val="00E73ABF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0C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4320C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4320CB"/>
    <w:rPr>
      <w:rFonts w:ascii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32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320CB"/>
    <w:pPr>
      <w:jc w:val="center"/>
    </w:pPr>
    <w:rPr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4320CB"/>
    <w:pPr>
      <w:jc w:val="both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20CB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32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0CB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4320C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320CB"/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4320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20CB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4320CB"/>
    <w:rPr>
      <w:rFonts w:cs="Times New Roman"/>
    </w:rPr>
  </w:style>
  <w:style w:type="paragraph" w:customStyle="1" w:styleId="ConsNonformat">
    <w:name w:val="ConsNonformat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4320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320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20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20C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0CB"/>
    <w:rPr>
      <w:rFonts w:ascii="Courier New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DefaultParagraphFont"/>
    <w:uiPriority w:val="99"/>
    <w:rsid w:val="004320CB"/>
    <w:rPr>
      <w:rFonts w:ascii="Arial" w:hAnsi="Arial" w:cs="Arial"/>
      <w:b/>
      <w:bCs/>
      <w:color w:val="353535"/>
      <w:sz w:val="20"/>
      <w:szCs w:val="20"/>
    </w:rPr>
  </w:style>
  <w:style w:type="table" w:styleId="TableGrid">
    <w:name w:val="Table Grid"/>
    <w:basedOn w:val="TableNormal"/>
    <w:uiPriority w:val="99"/>
    <w:rsid w:val="004320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56C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8874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88745D"/>
    <w:rPr>
      <w:rFonts w:ascii="Tahoma" w:hAnsi="Tahoma" w:cs="Tahoma"/>
      <w:sz w:val="16"/>
      <w:szCs w:val="16"/>
      <w:lang w:val="en-US"/>
    </w:rPr>
  </w:style>
  <w:style w:type="paragraph" w:customStyle="1" w:styleId="2">
    <w:name w:val="Знак2 Знак Знак"/>
    <w:basedOn w:val="Normal"/>
    <w:uiPriority w:val="99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1">
    <w:name w:val="Знак2 Знак Знак1"/>
    <w:basedOn w:val="Normal"/>
    <w:uiPriority w:val="99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9</Pages>
  <Words>3322</Words>
  <Characters>18942</Characters>
  <Application>Microsoft Office Outlook</Application>
  <DocSecurity>0</DocSecurity>
  <Lines>0</Lines>
  <Paragraphs>0</Paragraphs>
  <ScaleCrop>false</ScaleCrop>
  <Company>Комитет по финансам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РАЙОННОЕ СОБРАНИЕ ДЕПУТАТОВ КАЛМАНСКОГО РАЙОНА</dc:title>
  <dc:subject/>
  <dc:creator>Минькова Е.В.</dc:creator>
  <cp:keywords/>
  <dc:description/>
  <cp:lastModifiedBy>D</cp:lastModifiedBy>
  <cp:revision>3</cp:revision>
  <cp:lastPrinted>2016-02-18T02:20:00Z</cp:lastPrinted>
  <dcterms:created xsi:type="dcterms:W3CDTF">2016-03-01T04:19:00Z</dcterms:created>
  <dcterms:modified xsi:type="dcterms:W3CDTF">2016-03-01T04:24:00Z</dcterms:modified>
</cp:coreProperties>
</file>