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5" w:rsidRPr="00B06725" w:rsidRDefault="00703F15" w:rsidP="00703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725">
        <w:rPr>
          <w:rFonts w:ascii="Times New Roman" w:hAnsi="Times New Roman"/>
          <w:b/>
          <w:sz w:val="28"/>
          <w:szCs w:val="28"/>
        </w:rPr>
        <w:t>СОВЕТ ДЕПУТАТОВ КУБАНСКОГО СЕЛЬСОВЕТА</w:t>
      </w:r>
      <w:r w:rsidRPr="00B06725">
        <w:rPr>
          <w:rFonts w:ascii="Times New Roman" w:hAnsi="Times New Roman"/>
          <w:b/>
          <w:sz w:val="28"/>
          <w:szCs w:val="28"/>
        </w:rPr>
        <w:br/>
        <w:t>КАЛМАНСКОГО РАЙОНА АЛТАЙСКОГО КРАЯ</w:t>
      </w:r>
    </w:p>
    <w:p w:rsidR="00C22C22" w:rsidRPr="00B06725" w:rsidRDefault="00C22C22" w:rsidP="00D3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15" w:rsidRPr="00B06725" w:rsidRDefault="00703F15" w:rsidP="00D3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15" w:rsidRPr="00B06725" w:rsidRDefault="00703F15" w:rsidP="00D34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C22" w:rsidRPr="00B06725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67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0672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22C22" w:rsidRPr="00B06725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C22" w:rsidRPr="00B06725" w:rsidRDefault="00C22C22" w:rsidP="00690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725">
        <w:rPr>
          <w:rFonts w:ascii="Times New Roman" w:hAnsi="Times New Roman"/>
          <w:sz w:val="28"/>
          <w:szCs w:val="28"/>
        </w:rPr>
        <w:t>«</w:t>
      </w:r>
      <w:r w:rsidR="00EE23AE">
        <w:rPr>
          <w:rFonts w:ascii="Times New Roman" w:hAnsi="Times New Roman"/>
          <w:sz w:val="28"/>
          <w:szCs w:val="28"/>
        </w:rPr>
        <w:t xml:space="preserve"> 23</w:t>
      </w:r>
      <w:r w:rsidR="00B06725" w:rsidRPr="00B06725">
        <w:rPr>
          <w:rFonts w:ascii="Times New Roman" w:hAnsi="Times New Roman"/>
          <w:sz w:val="28"/>
          <w:szCs w:val="28"/>
        </w:rPr>
        <w:t xml:space="preserve"> </w:t>
      </w:r>
      <w:r w:rsidRPr="00B06725">
        <w:rPr>
          <w:rFonts w:ascii="Times New Roman" w:hAnsi="Times New Roman"/>
          <w:sz w:val="28"/>
          <w:szCs w:val="28"/>
        </w:rPr>
        <w:t>»</w:t>
      </w:r>
      <w:r w:rsidR="00B06725" w:rsidRPr="00B06725">
        <w:rPr>
          <w:rFonts w:ascii="Times New Roman" w:hAnsi="Times New Roman"/>
          <w:sz w:val="28"/>
          <w:szCs w:val="28"/>
        </w:rPr>
        <w:t xml:space="preserve"> декабря </w:t>
      </w:r>
      <w:r w:rsidRPr="00B06725">
        <w:rPr>
          <w:rFonts w:ascii="Times New Roman" w:hAnsi="Times New Roman"/>
          <w:sz w:val="28"/>
          <w:szCs w:val="28"/>
        </w:rPr>
        <w:t xml:space="preserve">2021 г.                                                    </w:t>
      </w:r>
      <w:r w:rsidR="00EE23AE">
        <w:rPr>
          <w:rFonts w:ascii="Times New Roman" w:hAnsi="Times New Roman"/>
          <w:sz w:val="28"/>
          <w:szCs w:val="28"/>
        </w:rPr>
        <w:t xml:space="preserve">                              </w:t>
      </w:r>
      <w:r w:rsidRPr="00B06725">
        <w:rPr>
          <w:rFonts w:ascii="Times New Roman" w:hAnsi="Times New Roman"/>
          <w:sz w:val="28"/>
          <w:szCs w:val="28"/>
        </w:rPr>
        <w:t xml:space="preserve">    №</w:t>
      </w:r>
      <w:r w:rsidR="00EE23AE">
        <w:rPr>
          <w:rFonts w:ascii="Times New Roman" w:hAnsi="Times New Roman"/>
          <w:sz w:val="28"/>
          <w:szCs w:val="28"/>
        </w:rPr>
        <w:t xml:space="preserve"> 23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</w:t>
      </w:r>
      <w:r w:rsidR="00DE4F20">
        <w:rPr>
          <w:rFonts w:ascii="Times New Roman" w:hAnsi="Times New Roman"/>
          <w:bCs/>
          <w:sz w:val="28"/>
          <w:szCs w:val="28"/>
        </w:rPr>
        <w:t>ализации инициативных проектов в</w:t>
      </w:r>
      <w:r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DE4F20">
        <w:rPr>
          <w:rFonts w:ascii="Times New Roman" w:hAnsi="Times New Roman"/>
          <w:bCs/>
          <w:sz w:val="28"/>
          <w:szCs w:val="28"/>
        </w:rPr>
        <w:t>и Кубанский сельсовет Калманского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</w:t>
      </w:r>
      <w:r w:rsidR="00047866">
        <w:rPr>
          <w:rFonts w:ascii="Times New Roman" w:hAnsi="Times New Roman"/>
          <w:sz w:val="28"/>
          <w:szCs w:val="28"/>
        </w:rPr>
        <w:t xml:space="preserve">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047866">
        <w:rPr>
          <w:rFonts w:ascii="Times New Roman" w:hAnsi="Times New Roman"/>
          <w:sz w:val="28"/>
          <w:szCs w:val="28"/>
        </w:rPr>
        <w:t>ом муниципального образования</w:t>
      </w:r>
      <w:r w:rsidR="00A75A10">
        <w:rPr>
          <w:rFonts w:ascii="Times New Roman" w:hAnsi="Times New Roman"/>
          <w:sz w:val="28"/>
          <w:szCs w:val="28"/>
        </w:rPr>
        <w:t xml:space="preserve"> Кубанский сельсовет Калманского</w:t>
      </w:r>
      <w:proofErr w:type="gramEnd"/>
      <w:r w:rsidR="00A75A10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047866">
        <w:rPr>
          <w:rFonts w:ascii="Times New Roman" w:hAnsi="Times New Roman"/>
          <w:sz w:val="28"/>
          <w:szCs w:val="28"/>
        </w:rPr>
        <w:t>, Совет депутатов Кубанского сельсовета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A75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7F6C6D" w:rsidRDefault="00C22C22" w:rsidP="007F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>2. Напра</w:t>
      </w:r>
      <w:r w:rsidR="00A75A10">
        <w:rPr>
          <w:rFonts w:ascii="Times New Roman" w:hAnsi="Times New Roman"/>
          <w:sz w:val="28"/>
          <w:szCs w:val="28"/>
        </w:rPr>
        <w:t xml:space="preserve">вить данное Решение главе Кубанского сельсовета </w:t>
      </w:r>
      <w:r w:rsidRPr="00F41B1C">
        <w:rPr>
          <w:rFonts w:ascii="Times New Roman" w:hAnsi="Times New Roman"/>
          <w:sz w:val="28"/>
          <w:szCs w:val="28"/>
        </w:rPr>
        <w:t>для опубликования</w:t>
      </w:r>
      <w:r w:rsidR="00A75A1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F6C6D">
        <w:rPr>
          <w:rFonts w:ascii="Times New Roman" w:hAnsi="Times New Roman"/>
          <w:sz w:val="28"/>
          <w:szCs w:val="28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A75A10">
        <w:rPr>
          <w:rFonts w:ascii="Times New Roman" w:hAnsi="Times New Roman"/>
          <w:sz w:val="28"/>
          <w:szCs w:val="28"/>
        </w:rPr>
        <w:t>Кубанский сельсовет</w:t>
      </w:r>
      <w:r w:rsidR="007F6C6D">
        <w:rPr>
          <w:rFonts w:ascii="Times New Roman" w:hAnsi="Times New Roman"/>
          <w:sz w:val="28"/>
          <w:szCs w:val="28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7F6C6D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Е.В.Кушнарев</w:t>
      </w:r>
    </w:p>
    <w:p w:rsidR="007F6C6D" w:rsidRPr="00D270D5" w:rsidRDefault="007F6C6D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Pr="00E5282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5282D">
        <w:rPr>
          <w:rFonts w:ascii="Times New Roman" w:hAnsi="Times New Roman"/>
          <w:sz w:val="28"/>
          <w:szCs w:val="28"/>
        </w:rPr>
        <w:t xml:space="preserve"> </w:t>
      </w:r>
    </w:p>
    <w:p w:rsidR="00C22C22" w:rsidRPr="00E5282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5536E0" w:rsidRDefault="00C22C22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 xml:space="preserve">«ОБ УТВЕРЖДЕНИИ ПОРЯДКА РЕАЛИЗАЦИИ ИНИЦИАТИВНЫХ ПРОЕКТОВ В </w:t>
      </w:r>
      <w:r w:rsidR="00DE4F20" w:rsidRPr="00DE4F20">
        <w:rPr>
          <w:rFonts w:ascii="Times New Roman" w:hAnsi="Times New Roman"/>
          <w:b/>
          <w:sz w:val="28"/>
          <w:szCs w:val="28"/>
        </w:rPr>
        <w:t xml:space="preserve">КУБАНСКОМ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B06725" w:rsidRDefault="00C22C22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AD3B50">
        <w:rPr>
          <w:rFonts w:ascii="Times New Roman" w:hAnsi="Times New Roman"/>
          <w:i/>
          <w:sz w:val="24"/>
          <w:szCs w:val="24"/>
        </w:rPr>
        <w:t xml:space="preserve">Совета депутатов Кубанского сельсовета от    </w:t>
      </w:r>
      <w:r w:rsidR="00EE23AE">
        <w:rPr>
          <w:rFonts w:ascii="Times New Roman" w:hAnsi="Times New Roman"/>
          <w:i/>
          <w:sz w:val="24"/>
          <w:szCs w:val="24"/>
        </w:rPr>
        <w:t>23</w:t>
      </w:r>
      <w:r w:rsidR="00B06725">
        <w:rPr>
          <w:rFonts w:ascii="Times New Roman" w:hAnsi="Times New Roman"/>
          <w:i/>
          <w:sz w:val="24"/>
          <w:szCs w:val="24"/>
        </w:rPr>
        <w:t xml:space="preserve"> . 12</w:t>
      </w:r>
      <w:r w:rsidR="00AD3B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.2021</w:t>
      </w:r>
      <w:r w:rsidRPr="003F1770">
        <w:rPr>
          <w:rFonts w:ascii="Times New Roman" w:hAnsi="Times New Roman"/>
          <w:i/>
          <w:sz w:val="24"/>
          <w:szCs w:val="24"/>
        </w:rPr>
        <w:t xml:space="preserve"> №</w:t>
      </w:r>
      <w:r w:rsidR="00EE23AE">
        <w:rPr>
          <w:rFonts w:ascii="Times New Roman" w:hAnsi="Times New Roman"/>
          <w:i/>
          <w:sz w:val="24"/>
          <w:szCs w:val="24"/>
        </w:rPr>
        <w:t>23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AD3B50">
        <w:rPr>
          <w:i/>
          <w:sz w:val="28"/>
          <w:szCs w:val="28"/>
        </w:rPr>
        <w:t>Кубанского</w:t>
      </w:r>
      <w:r>
        <w:rPr>
          <w:i/>
          <w:sz w:val="28"/>
          <w:szCs w:val="28"/>
        </w:rPr>
        <w:t xml:space="preserve"> </w:t>
      </w:r>
      <w:r w:rsidRPr="00705412">
        <w:rPr>
          <w:i/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AD3B50" w:rsidRPr="00AD3B50">
        <w:rPr>
          <w:sz w:val="28"/>
          <w:szCs w:val="28"/>
        </w:rPr>
        <w:t>Кубанского сельсовета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AD3B50">
        <w:rPr>
          <w:i/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</w:t>
      </w:r>
      <w:r w:rsidR="00AD3B50">
        <w:rPr>
          <w:sz w:val="28"/>
          <w:szCs w:val="28"/>
        </w:rPr>
        <w:t xml:space="preserve">Кубанский сельсовет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</w:t>
      </w: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Pr="002D3335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2D3335" w:rsidRPr="002D3335">
        <w:rPr>
          <w:rFonts w:ascii="Times New Roman" w:hAnsi="Times New Roman"/>
          <w:sz w:val="28"/>
          <w:szCs w:val="28"/>
        </w:rPr>
        <w:t>Кубанского</w:t>
      </w:r>
      <w:r w:rsidRPr="002D3335">
        <w:rPr>
          <w:rFonts w:ascii="Times New Roman" w:hAnsi="Times New Roman"/>
          <w:sz w:val="28"/>
          <w:szCs w:val="28"/>
        </w:rPr>
        <w:t xml:space="preserve"> </w:t>
      </w:r>
      <w:r w:rsidR="002D3335">
        <w:rPr>
          <w:rFonts w:ascii="Times New Roman" w:hAnsi="Times New Roman"/>
          <w:sz w:val="28"/>
          <w:szCs w:val="28"/>
        </w:rPr>
        <w:t>сельсовета</w:t>
      </w:r>
      <w:r w:rsidRPr="002D3335">
        <w:rPr>
          <w:rFonts w:ascii="Times New Roman" w:hAnsi="Times New Roman"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2D3335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</w:t>
      </w:r>
      <w:r w:rsidRPr="002D3335">
        <w:rPr>
          <w:i/>
          <w:sz w:val="28"/>
          <w:szCs w:val="28"/>
        </w:rPr>
        <w:t xml:space="preserve">официальном </w:t>
      </w:r>
      <w:r w:rsidRPr="002D3335">
        <w:rPr>
          <w:sz w:val="28"/>
          <w:szCs w:val="28"/>
        </w:rPr>
        <w:t xml:space="preserve">сайте </w:t>
      </w:r>
      <w:r w:rsidR="002D3335" w:rsidRPr="002D3335">
        <w:rPr>
          <w:sz w:val="28"/>
          <w:szCs w:val="28"/>
        </w:rPr>
        <w:t>администрации Кубанского</w:t>
      </w:r>
      <w:r w:rsidR="002D3335" w:rsidRPr="002D3335">
        <w:rPr>
          <w:i/>
          <w:sz w:val="28"/>
          <w:szCs w:val="28"/>
        </w:rPr>
        <w:t xml:space="preserve"> </w:t>
      </w:r>
      <w:r w:rsidR="002D3335" w:rsidRPr="002D3335">
        <w:rPr>
          <w:sz w:val="28"/>
          <w:szCs w:val="28"/>
        </w:rPr>
        <w:t>сельсовета</w:t>
      </w:r>
      <w:r w:rsidR="002D3335" w:rsidRPr="002D3335">
        <w:rPr>
          <w:i/>
          <w:sz w:val="28"/>
          <w:szCs w:val="28"/>
        </w:rPr>
        <w:t xml:space="preserve"> </w:t>
      </w:r>
      <w:r w:rsidRPr="002D3335">
        <w:rPr>
          <w:i/>
          <w:sz w:val="28"/>
          <w:szCs w:val="28"/>
        </w:rPr>
        <w:t xml:space="preserve"> </w:t>
      </w:r>
      <w:r w:rsidRPr="002D3335">
        <w:rPr>
          <w:sz w:val="28"/>
          <w:szCs w:val="28"/>
        </w:rPr>
        <w:t xml:space="preserve">в информационно-телекоммуникационной сети «Интернет» или информационном стенде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2D3335" w:rsidRPr="002D3335">
        <w:rPr>
          <w:sz w:val="28"/>
          <w:szCs w:val="28"/>
        </w:rPr>
        <w:t>Кубанского сельсовета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>18. В случае</w:t>
      </w:r>
      <w:proofErr w:type="gramStart"/>
      <w:r w:rsidRPr="00793015">
        <w:rPr>
          <w:rFonts w:ascii="Times New Roman" w:hAnsi="Times New Roman"/>
          <w:sz w:val="28"/>
          <w:szCs w:val="28"/>
        </w:rPr>
        <w:t>,</w:t>
      </w:r>
      <w:proofErr w:type="gramEnd"/>
      <w:r w:rsidRPr="00793015">
        <w:rPr>
          <w:rFonts w:ascii="Times New Roman" w:hAnsi="Times New Roman"/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lastRenderedPageBreak/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3C2BE4">
        <w:rPr>
          <w:rFonts w:ascii="Times New Roman" w:hAnsi="Times New Roman"/>
          <w:kern w:val="2"/>
          <w:sz w:val="28"/>
          <w:szCs w:val="28"/>
        </w:rPr>
        <w:t>Думы</w:t>
      </w:r>
      <w:proofErr w:type="gramEnd"/>
      <w:r w:rsidRPr="003C2BE4">
        <w:rPr>
          <w:rFonts w:ascii="Times New Roman" w:hAnsi="Times New Roman"/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1236EE" w:rsidRDefault="001236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1236EE" w:rsidRDefault="001236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1236EE" w:rsidRDefault="001236E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F5" w:rsidRDefault="004D12F5" w:rsidP="003D1FD5">
      <w:pPr>
        <w:spacing w:after="0" w:line="240" w:lineRule="auto"/>
      </w:pPr>
      <w:r>
        <w:separator/>
      </w:r>
    </w:p>
  </w:endnote>
  <w:endnote w:type="continuationSeparator" w:id="0">
    <w:p w:rsidR="004D12F5" w:rsidRDefault="004D12F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F5" w:rsidRDefault="004D12F5" w:rsidP="003D1FD5">
      <w:pPr>
        <w:spacing w:after="0" w:line="240" w:lineRule="auto"/>
      </w:pPr>
      <w:r>
        <w:separator/>
      </w:r>
    </w:p>
  </w:footnote>
  <w:footnote w:type="continuationSeparator" w:id="0">
    <w:p w:rsidR="004D12F5" w:rsidRDefault="004D12F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401598">
    <w:pPr>
      <w:pStyle w:val="a4"/>
      <w:jc w:val="center"/>
    </w:pPr>
    <w:fldSimple w:instr=" PAGE   \* MERGEFORMAT ">
      <w:r w:rsidR="00EE23AE">
        <w:rPr>
          <w:noProof/>
        </w:rPr>
        <w:t>11</w:t>
      </w:r>
    </w:fldSimple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7866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236EE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D3335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E1C15"/>
    <w:rsid w:val="003E2879"/>
    <w:rsid w:val="003E31FF"/>
    <w:rsid w:val="003E61BA"/>
    <w:rsid w:val="003F1770"/>
    <w:rsid w:val="003F4FB0"/>
    <w:rsid w:val="004006DB"/>
    <w:rsid w:val="00401598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12F5"/>
    <w:rsid w:val="004D2A80"/>
    <w:rsid w:val="004D5F33"/>
    <w:rsid w:val="004E15F3"/>
    <w:rsid w:val="004F32EE"/>
    <w:rsid w:val="005010A3"/>
    <w:rsid w:val="00502739"/>
    <w:rsid w:val="00512B7E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4ABD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3F15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2BF3"/>
    <w:rsid w:val="007D38FA"/>
    <w:rsid w:val="007E0CF6"/>
    <w:rsid w:val="007F1623"/>
    <w:rsid w:val="007F3B00"/>
    <w:rsid w:val="007F6C6D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5A10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3B50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06725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4F20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3AE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45BB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Молодецкая Э.Р.</cp:lastModifiedBy>
  <cp:revision>10</cp:revision>
  <cp:lastPrinted>2021-12-08T09:07:00Z</cp:lastPrinted>
  <dcterms:created xsi:type="dcterms:W3CDTF">2021-06-10T05:25:00Z</dcterms:created>
  <dcterms:modified xsi:type="dcterms:W3CDTF">2021-12-22T09:38:00Z</dcterms:modified>
</cp:coreProperties>
</file>